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7D9D1" w14:textId="77777777" w:rsidR="008558BC" w:rsidRPr="00243B9C" w:rsidRDefault="008558BC" w:rsidP="008558BC">
      <w:pPr>
        <w:rPr>
          <w:rFonts w:ascii="Times New Roman" w:hAnsi="Times New Roman" w:cs="Times New Roman"/>
          <w:b/>
          <w:bCs/>
          <w:sz w:val="32"/>
          <w:szCs w:val="32"/>
        </w:rPr>
      </w:pPr>
      <w:r>
        <w:t xml:space="preserve">                           </w:t>
      </w:r>
      <w:r w:rsidRPr="00243B9C">
        <w:rPr>
          <w:rFonts w:ascii="Times New Roman" w:hAnsi="Times New Roman" w:cs="Times New Roman"/>
          <w:b/>
          <w:bCs/>
          <w:sz w:val="32"/>
          <w:szCs w:val="32"/>
        </w:rPr>
        <w:t>Jauni brīdinājumi zāļu aprakstos</w:t>
      </w:r>
    </w:p>
    <w:p w14:paraId="154A8CF7" w14:textId="19BC50EF" w:rsidR="000A691F" w:rsidRPr="00243B9C" w:rsidRDefault="008558BC" w:rsidP="008558BC">
      <w:pPr>
        <w:rPr>
          <w:rFonts w:ascii="Times New Roman" w:hAnsi="Times New Roman" w:cs="Times New Roman"/>
          <w:b/>
          <w:bCs/>
          <w:sz w:val="32"/>
          <w:szCs w:val="32"/>
        </w:rPr>
      </w:pPr>
      <w:r w:rsidRPr="00243B9C">
        <w:rPr>
          <w:rFonts w:ascii="Times New Roman" w:hAnsi="Times New Roman" w:cs="Times New Roman"/>
          <w:b/>
          <w:bCs/>
          <w:sz w:val="32"/>
          <w:szCs w:val="32"/>
        </w:rPr>
        <w:t>PRAC</w:t>
      </w:r>
      <w:r w:rsidRPr="00243B9C">
        <w:rPr>
          <w:rFonts w:ascii="Times New Roman" w:hAnsi="Times New Roman" w:cs="Times New Roman"/>
          <w:b/>
          <w:bCs/>
          <w:sz w:val="32"/>
          <w:szCs w:val="32"/>
          <w:vertAlign w:val="superscript"/>
        </w:rPr>
        <w:t>1</w:t>
      </w:r>
      <w:r w:rsidRPr="00243B9C">
        <w:rPr>
          <w:rFonts w:ascii="Times New Roman" w:hAnsi="Times New Roman" w:cs="Times New Roman"/>
          <w:b/>
          <w:bCs/>
          <w:sz w:val="32"/>
          <w:szCs w:val="32"/>
        </w:rPr>
        <w:t xml:space="preserve"> ieteikumi par signāliem 202</w:t>
      </w:r>
      <w:r w:rsidR="00C72097">
        <w:rPr>
          <w:rFonts w:ascii="Times New Roman" w:hAnsi="Times New Roman" w:cs="Times New Roman"/>
          <w:b/>
          <w:bCs/>
          <w:sz w:val="32"/>
          <w:szCs w:val="32"/>
        </w:rPr>
        <w:t>5</w:t>
      </w:r>
      <w:r w:rsidRPr="00243B9C">
        <w:rPr>
          <w:rFonts w:ascii="Times New Roman" w:hAnsi="Times New Roman" w:cs="Times New Roman"/>
          <w:b/>
          <w:bCs/>
          <w:sz w:val="32"/>
          <w:szCs w:val="32"/>
        </w:rPr>
        <w:t>. gada</w:t>
      </w:r>
      <w:r w:rsidR="00921A85">
        <w:rPr>
          <w:rFonts w:ascii="Times New Roman" w:hAnsi="Times New Roman" w:cs="Times New Roman"/>
          <w:b/>
          <w:bCs/>
          <w:sz w:val="32"/>
          <w:szCs w:val="32"/>
        </w:rPr>
        <w:t xml:space="preserve"> oktobr</w:t>
      </w:r>
      <w:r w:rsidR="00036F54">
        <w:rPr>
          <w:rFonts w:ascii="Times New Roman" w:hAnsi="Times New Roman" w:cs="Times New Roman"/>
          <w:b/>
          <w:bCs/>
          <w:sz w:val="32"/>
          <w:szCs w:val="32"/>
        </w:rPr>
        <w:t>ī</w:t>
      </w:r>
      <w:r w:rsidRPr="00243B9C">
        <w:rPr>
          <w:rFonts w:ascii="Times New Roman" w:hAnsi="Times New Roman" w:cs="Times New Roman"/>
          <w:b/>
          <w:bCs/>
          <w:sz w:val="32"/>
          <w:szCs w:val="32"/>
        </w:rPr>
        <w:t>*</w:t>
      </w:r>
    </w:p>
    <w:p w14:paraId="7F65CBFE" w14:textId="77777777" w:rsidR="008558BC" w:rsidRDefault="008558BC" w:rsidP="00133340">
      <w:pPr>
        <w:pBdr>
          <w:top w:val="single" w:sz="4" w:space="1" w:color="auto"/>
          <w:left w:val="single" w:sz="4" w:space="4" w:color="auto"/>
          <w:bottom w:val="single" w:sz="4" w:space="1" w:color="auto"/>
          <w:right w:val="single" w:sz="4" w:space="4" w:color="auto"/>
        </w:pBdr>
        <w:rPr>
          <w:b/>
          <w:bCs/>
          <w:sz w:val="28"/>
          <w:szCs w:val="28"/>
        </w:rPr>
      </w:pPr>
    </w:p>
    <w:p w14:paraId="4D152404" w14:textId="77777777" w:rsidR="008558BC" w:rsidRPr="008558BC" w:rsidRDefault="008558BC" w:rsidP="00133340">
      <w:pPr>
        <w:pStyle w:val="Default"/>
        <w:pBdr>
          <w:top w:val="single" w:sz="4" w:space="1" w:color="auto"/>
          <w:left w:val="single" w:sz="4" w:space="4" w:color="auto"/>
          <w:bottom w:val="single" w:sz="4" w:space="1" w:color="auto"/>
          <w:right w:val="single" w:sz="4" w:space="4" w:color="auto"/>
        </w:pBdr>
      </w:pPr>
      <w:r w:rsidRPr="008558BC">
        <w:t xml:space="preserve"> Zāļu aprakstam pievienotais jaunais teksts ir </w:t>
      </w:r>
      <w:r w:rsidRPr="008558BC">
        <w:rPr>
          <w:u w:val="single"/>
        </w:rPr>
        <w:t>pasvītrots</w:t>
      </w:r>
      <w:r w:rsidRPr="008558BC">
        <w:t xml:space="preserve">. </w:t>
      </w:r>
    </w:p>
    <w:p w14:paraId="0683ACEB" w14:textId="4BA5BA81" w:rsidR="008558BC" w:rsidRPr="008558BC" w:rsidRDefault="008558BC" w:rsidP="00133340">
      <w:pPr>
        <w:pStyle w:val="Default"/>
        <w:pBdr>
          <w:top w:val="single" w:sz="4" w:space="1" w:color="auto"/>
          <w:left w:val="single" w:sz="4" w:space="4" w:color="auto"/>
          <w:bottom w:val="single" w:sz="4" w:space="1" w:color="auto"/>
          <w:right w:val="single" w:sz="4" w:space="4" w:color="auto"/>
        </w:pBdr>
      </w:pPr>
      <w:r w:rsidRPr="008558BC">
        <w:t xml:space="preserve"> Teksts, kas ti</w:t>
      </w:r>
      <w:r w:rsidR="002A6460">
        <w:t>ek</w:t>
      </w:r>
      <w:r w:rsidRPr="008558BC">
        <w:t xml:space="preserve"> dzēsts, ir </w:t>
      </w:r>
      <w:r w:rsidRPr="008558BC">
        <w:rPr>
          <w:strike/>
        </w:rPr>
        <w:t>pārsvītrots</w:t>
      </w:r>
      <w:r w:rsidRPr="008558BC">
        <w:t xml:space="preserve">. </w:t>
      </w:r>
    </w:p>
    <w:p w14:paraId="3290B3AD" w14:textId="77777777" w:rsidR="008558BC" w:rsidRPr="008558BC" w:rsidRDefault="008558BC" w:rsidP="00133340">
      <w:pPr>
        <w:pStyle w:val="Default"/>
        <w:pBdr>
          <w:top w:val="single" w:sz="4" w:space="1" w:color="auto"/>
          <w:left w:val="single" w:sz="4" w:space="4" w:color="auto"/>
          <w:bottom w:val="single" w:sz="4" w:space="1" w:color="auto"/>
          <w:right w:val="single" w:sz="4" w:space="4" w:color="auto"/>
        </w:pBdr>
      </w:pPr>
    </w:p>
    <w:p w14:paraId="336FD1B9" w14:textId="6044D3F4" w:rsidR="008558BC" w:rsidRDefault="008558BC" w:rsidP="00133340">
      <w:pPr>
        <w:pBdr>
          <w:top w:val="single" w:sz="4" w:space="1" w:color="auto"/>
          <w:left w:val="single" w:sz="4" w:space="4" w:color="auto"/>
          <w:bottom w:val="single" w:sz="4" w:space="1" w:color="auto"/>
          <w:right w:val="single" w:sz="4" w:space="4" w:color="auto"/>
        </w:pBdr>
        <w:rPr>
          <w:rFonts w:ascii="Times New Roman" w:hAnsi="Times New Roman" w:cs="Times New Roman"/>
          <w:color w:val="0462C1"/>
          <w:sz w:val="24"/>
          <w:szCs w:val="24"/>
        </w:rPr>
      </w:pPr>
      <w:r w:rsidRPr="008558BC">
        <w:rPr>
          <w:rFonts w:ascii="Times New Roman" w:hAnsi="Times New Roman" w:cs="Times New Roman"/>
          <w:sz w:val="24"/>
          <w:szCs w:val="24"/>
        </w:rPr>
        <w:t xml:space="preserve">Zāļu apraksti, kuros atspoguļota aktuāla pilna informācija par zālēm, ietverot arī apstiprinātās indikācijas, pieejami </w:t>
      </w:r>
      <w:hyperlink r:id="rId7" w:history="1">
        <w:r w:rsidRPr="00DC0C09">
          <w:rPr>
            <w:rStyle w:val="Hyperlink"/>
            <w:rFonts w:ascii="Times New Roman" w:hAnsi="Times New Roman" w:cs="Times New Roman"/>
            <w:sz w:val="24"/>
            <w:szCs w:val="24"/>
          </w:rPr>
          <w:t>https://dati.zva.gov.lv/zalu-registrs/lv</w:t>
        </w:r>
      </w:hyperlink>
      <w:r w:rsidRPr="008558BC">
        <w:rPr>
          <w:rFonts w:ascii="Times New Roman" w:hAnsi="Times New Roman" w:cs="Times New Roman"/>
          <w:color w:val="0462C1"/>
          <w:sz w:val="24"/>
          <w:szCs w:val="24"/>
        </w:rPr>
        <w:t>.</w:t>
      </w:r>
    </w:p>
    <w:p w14:paraId="6A5B97DB" w14:textId="77777777" w:rsidR="008558BC" w:rsidRDefault="008558BC" w:rsidP="008558BC">
      <w:pPr>
        <w:rPr>
          <w:rFonts w:ascii="Times New Roman" w:hAnsi="Times New Roman" w:cs="Times New Roman"/>
          <w:color w:val="0462C1"/>
          <w:sz w:val="24"/>
          <w:szCs w:val="24"/>
        </w:rPr>
      </w:pPr>
    </w:p>
    <w:p w14:paraId="772C6F2D" w14:textId="77777777" w:rsidR="00BC69F9" w:rsidRDefault="00BC69F9" w:rsidP="008558BC">
      <w:pPr>
        <w:rPr>
          <w:rFonts w:ascii="Times New Roman" w:hAnsi="Times New Roman" w:cs="Times New Roman"/>
          <w:b/>
          <w:bCs/>
          <w:color w:val="0070C0"/>
          <w:sz w:val="28"/>
          <w:szCs w:val="28"/>
        </w:rPr>
      </w:pPr>
    </w:p>
    <w:p w14:paraId="5A7C021E" w14:textId="043926C7" w:rsidR="00952968" w:rsidRDefault="00921A85" w:rsidP="00472803">
      <w:pPr>
        <w:rPr>
          <w:rFonts w:ascii="Times New Roman" w:hAnsi="Times New Roman" w:cs="Times New Roman"/>
          <w:b/>
          <w:bCs/>
          <w:color w:val="0070C0"/>
          <w:sz w:val="32"/>
          <w:szCs w:val="32"/>
        </w:rPr>
      </w:pPr>
      <w:r w:rsidRPr="00921A85">
        <w:rPr>
          <w:rFonts w:ascii="Times New Roman" w:hAnsi="Times New Roman" w:cs="Times New Roman"/>
          <w:b/>
          <w:bCs/>
          <w:color w:val="0070C0"/>
          <w:sz w:val="32"/>
          <w:szCs w:val="32"/>
        </w:rPr>
        <w:t xml:space="preserve">Bosutinibs  </w:t>
      </w:r>
    </w:p>
    <w:p w14:paraId="35403DFC" w14:textId="01C52760" w:rsidR="00B80CC0" w:rsidRPr="00952968" w:rsidRDefault="00C618BC" w:rsidP="00472803">
      <w:pPr>
        <w:rPr>
          <w:rFonts w:ascii="Times New Roman" w:hAnsi="Times New Roman" w:cs="Times New Roman"/>
          <w:b/>
          <w:bCs/>
          <w:sz w:val="32"/>
          <w:szCs w:val="32"/>
        </w:rPr>
      </w:pPr>
      <w:r>
        <w:rPr>
          <w:rFonts w:ascii="Times New Roman" w:hAnsi="Times New Roman" w:cs="Times New Roman"/>
          <w:b/>
          <w:bCs/>
          <w:sz w:val="32"/>
          <w:szCs w:val="32"/>
        </w:rPr>
        <w:t>Jauna blakne</w:t>
      </w:r>
      <w:r w:rsidR="00921A85">
        <w:rPr>
          <w:rFonts w:ascii="Times New Roman" w:hAnsi="Times New Roman" w:cs="Times New Roman"/>
          <w:b/>
          <w:bCs/>
          <w:sz w:val="32"/>
          <w:szCs w:val="32"/>
        </w:rPr>
        <w:t xml:space="preserve"> - </w:t>
      </w:r>
      <w:r w:rsidR="00921A85" w:rsidRPr="00921A85">
        <w:rPr>
          <w:rFonts w:ascii="Times New Roman" w:hAnsi="Times New Roman" w:cs="Times New Roman"/>
          <w:b/>
          <w:bCs/>
          <w:color w:val="0070C0"/>
          <w:sz w:val="32"/>
          <w:szCs w:val="32"/>
        </w:rPr>
        <w:t>ādas vaskulīts</w:t>
      </w:r>
    </w:p>
    <w:p w14:paraId="763520B3" w14:textId="77777777" w:rsidR="00083015" w:rsidRPr="00BC69F9" w:rsidRDefault="00083015" w:rsidP="008558BC">
      <w:pPr>
        <w:rPr>
          <w:rFonts w:ascii="Times New Roman" w:hAnsi="Times New Roman" w:cs="Times New Roman"/>
          <w:b/>
          <w:bCs/>
          <w:color w:val="0070C0"/>
          <w:sz w:val="32"/>
          <w:szCs w:val="32"/>
        </w:rPr>
      </w:pPr>
    </w:p>
    <w:p w14:paraId="603EA36B" w14:textId="77777777" w:rsidR="00F50E3F" w:rsidRPr="00036F54" w:rsidRDefault="00243B9C" w:rsidP="005C1299">
      <w:pPr>
        <w:pStyle w:val="ListParagraph"/>
        <w:numPr>
          <w:ilvl w:val="0"/>
          <w:numId w:val="1"/>
        </w:numPr>
        <w:jc w:val="both"/>
        <w:rPr>
          <w:rFonts w:ascii="Times New Roman" w:hAnsi="Times New Roman" w:cs="Times New Roman"/>
          <w:b/>
          <w:bCs/>
          <w:sz w:val="24"/>
          <w:szCs w:val="24"/>
        </w:rPr>
      </w:pPr>
      <w:r w:rsidRPr="00036F54">
        <w:rPr>
          <w:rFonts w:ascii="Times New Roman" w:hAnsi="Times New Roman" w:cs="Times New Roman"/>
          <w:b/>
          <w:bCs/>
          <w:sz w:val="24"/>
          <w:szCs w:val="24"/>
        </w:rPr>
        <w:t>Indikācija</w:t>
      </w:r>
      <w:r w:rsidR="00721348" w:rsidRPr="00036F54">
        <w:rPr>
          <w:rFonts w:ascii="Times New Roman" w:hAnsi="Times New Roman" w:cs="Times New Roman"/>
          <w:b/>
          <w:bCs/>
          <w:sz w:val="24"/>
          <w:szCs w:val="24"/>
        </w:rPr>
        <w:t>s</w:t>
      </w:r>
      <w:r w:rsidRPr="00036F54">
        <w:rPr>
          <w:rFonts w:ascii="Times New Roman" w:hAnsi="Times New Roman" w:cs="Times New Roman"/>
          <w:b/>
          <w:bCs/>
          <w:sz w:val="24"/>
          <w:szCs w:val="24"/>
        </w:rPr>
        <w:t>:</w:t>
      </w:r>
    </w:p>
    <w:p w14:paraId="42542AAA" w14:textId="4C229070" w:rsidR="005C1299" w:rsidRPr="00F50E3F" w:rsidRDefault="00243B9C" w:rsidP="00F50E3F">
      <w:pPr>
        <w:ind w:left="720"/>
        <w:jc w:val="both"/>
        <w:rPr>
          <w:rFonts w:ascii="Times New Roman" w:hAnsi="Times New Roman" w:cs="Times New Roman"/>
          <w:sz w:val="24"/>
          <w:szCs w:val="24"/>
        </w:rPr>
      </w:pPr>
      <w:r w:rsidRPr="00F50E3F">
        <w:rPr>
          <w:rFonts w:ascii="Times New Roman" w:hAnsi="Times New Roman" w:cs="Times New Roman"/>
          <w:b/>
          <w:bCs/>
          <w:sz w:val="24"/>
          <w:szCs w:val="24"/>
        </w:rPr>
        <w:t xml:space="preserve"> </w:t>
      </w:r>
      <w:r w:rsidR="00F50E3F" w:rsidRPr="00F50E3F">
        <w:rPr>
          <w:rFonts w:ascii="Times New Roman" w:hAnsi="Times New Roman" w:cs="Times New Roman"/>
          <w:sz w:val="24"/>
          <w:szCs w:val="24"/>
        </w:rPr>
        <w:t>l</w:t>
      </w:r>
      <w:r w:rsidR="005C1299" w:rsidRPr="00F50E3F">
        <w:rPr>
          <w:rFonts w:ascii="Times New Roman" w:hAnsi="Times New Roman" w:cs="Times New Roman"/>
          <w:sz w:val="24"/>
          <w:szCs w:val="24"/>
        </w:rPr>
        <w:t>ai ārstētu</w:t>
      </w:r>
    </w:p>
    <w:p w14:paraId="0F2C4378" w14:textId="77777777" w:rsidR="00F50E3F" w:rsidRPr="00F50E3F" w:rsidRDefault="005C1299" w:rsidP="00F50E3F">
      <w:pPr>
        <w:pStyle w:val="ListParagraph"/>
        <w:numPr>
          <w:ilvl w:val="0"/>
          <w:numId w:val="32"/>
        </w:numPr>
        <w:jc w:val="both"/>
        <w:rPr>
          <w:rFonts w:ascii="Times New Roman" w:hAnsi="Times New Roman" w:cs="Times New Roman"/>
          <w:sz w:val="24"/>
          <w:szCs w:val="24"/>
        </w:rPr>
      </w:pPr>
      <w:r w:rsidRPr="00F50E3F">
        <w:rPr>
          <w:rFonts w:ascii="Times New Roman" w:hAnsi="Times New Roman" w:cs="Times New Roman"/>
          <w:sz w:val="24"/>
          <w:szCs w:val="24"/>
        </w:rPr>
        <w:t>pieaugušos un pediatriskos pacientus no 6 gadu vecuma ar pirmreizēji diagnosticētu (PD)</w:t>
      </w:r>
      <w:r w:rsidR="00F50E3F" w:rsidRPr="00F50E3F">
        <w:rPr>
          <w:rFonts w:ascii="Times New Roman" w:hAnsi="Times New Roman" w:cs="Times New Roman"/>
          <w:sz w:val="24"/>
          <w:szCs w:val="24"/>
        </w:rPr>
        <w:t xml:space="preserve"> </w:t>
      </w:r>
      <w:r w:rsidRPr="00F50E3F">
        <w:rPr>
          <w:rFonts w:ascii="Times New Roman" w:hAnsi="Times New Roman" w:cs="Times New Roman"/>
          <w:sz w:val="24"/>
          <w:szCs w:val="24"/>
        </w:rPr>
        <w:t>Filadelfijas hromosomas pozitīvu hronisku mieloleikozi (Ph+ HML) slimības hroniskajā fāzē</w:t>
      </w:r>
      <w:r w:rsidR="00F50E3F" w:rsidRPr="00F50E3F">
        <w:rPr>
          <w:rFonts w:ascii="Times New Roman" w:hAnsi="Times New Roman" w:cs="Times New Roman"/>
          <w:sz w:val="24"/>
          <w:szCs w:val="24"/>
        </w:rPr>
        <w:t xml:space="preserve"> </w:t>
      </w:r>
      <w:r w:rsidRPr="00F50E3F">
        <w:rPr>
          <w:rFonts w:ascii="Times New Roman" w:hAnsi="Times New Roman" w:cs="Times New Roman"/>
          <w:sz w:val="24"/>
          <w:szCs w:val="24"/>
        </w:rPr>
        <w:t>(HF);</w:t>
      </w:r>
    </w:p>
    <w:p w14:paraId="4A0E876C" w14:textId="77777777" w:rsidR="00F50E3F" w:rsidRPr="00F50E3F" w:rsidRDefault="005C1299" w:rsidP="00F50E3F">
      <w:pPr>
        <w:pStyle w:val="ListParagraph"/>
        <w:numPr>
          <w:ilvl w:val="0"/>
          <w:numId w:val="32"/>
        </w:numPr>
        <w:jc w:val="both"/>
        <w:rPr>
          <w:rFonts w:ascii="Times New Roman" w:hAnsi="Times New Roman" w:cs="Times New Roman"/>
          <w:sz w:val="24"/>
          <w:szCs w:val="24"/>
        </w:rPr>
      </w:pPr>
      <w:r w:rsidRPr="00F50E3F">
        <w:rPr>
          <w:rFonts w:ascii="Times New Roman" w:hAnsi="Times New Roman" w:cs="Times New Roman"/>
          <w:sz w:val="24"/>
          <w:szCs w:val="24"/>
        </w:rPr>
        <w:t>pieaugušos un pediatriskos pacientus no 6 gadu vecuma ar Ph+ HML HF, ja pacienti iepriekš</w:t>
      </w:r>
      <w:r w:rsidR="00F50E3F" w:rsidRPr="00F50E3F">
        <w:rPr>
          <w:rFonts w:ascii="Times New Roman" w:hAnsi="Times New Roman" w:cs="Times New Roman"/>
          <w:sz w:val="24"/>
          <w:szCs w:val="24"/>
        </w:rPr>
        <w:t xml:space="preserve"> </w:t>
      </w:r>
      <w:r w:rsidRPr="00F50E3F">
        <w:rPr>
          <w:rFonts w:ascii="Times New Roman" w:hAnsi="Times New Roman" w:cs="Times New Roman"/>
          <w:sz w:val="24"/>
          <w:szCs w:val="24"/>
        </w:rPr>
        <w:t>tika ārstēti ar vienu vai vairākiem tirozīnkināzes inhibitoriem [TKI] un nav bijusi piemērota</w:t>
      </w:r>
      <w:r w:rsidR="00F50E3F" w:rsidRPr="00F50E3F">
        <w:rPr>
          <w:rFonts w:ascii="Times New Roman" w:hAnsi="Times New Roman" w:cs="Times New Roman"/>
          <w:sz w:val="24"/>
          <w:szCs w:val="24"/>
        </w:rPr>
        <w:t xml:space="preserve"> </w:t>
      </w:r>
      <w:r w:rsidRPr="00F50E3F">
        <w:rPr>
          <w:rFonts w:ascii="Times New Roman" w:hAnsi="Times New Roman" w:cs="Times New Roman"/>
          <w:sz w:val="24"/>
          <w:szCs w:val="24"/>
        </w:rPr>
        <w:t>terapija ar imatinibu, nilotinibu vai dasatinibu;</w:t>
      </w:r>
    </w:p>
    <w:p w14:paraId="70FA23F7" w14:textId="532BB358" w:rsidR="00243B9C" w:rsidRPr="00F50E3F" w:rsidRDefault="005C1299" w:rsidP="00F50E3F">
      <w:pPr>
        <w:pStyle w:val="ListParagraph"/>
        <w:numPr>
          <w:ilvl w:val="0"/>
          <w:numId w:val="32"/>
        </w:numPr>
        <w:jc w:val="both"/>
        <w:rPr>
          <w:rFonts w:ascii="Times New Roman" w:hAnsi="Times New Roman" w:cs="Times New Roman"/>
          <w:sz w:val="24"/>
          <w:szCs w:val="24"/>
        </w:rPr>
      </w:pPr>
      <w:r w:rsidRPr="00F50E3F">
        <w:rPr>
          <w:rFonts w:ascii="Times New Roman" w:hAnsi="Times New Roman" w:cs="Times New Roman"/>
          <w:sz w:val="24"/>
          <w:szCs w:val="24"/>
        </w:rPr>
        <w:t>pieaugušos pacientus ar Ph+ HML slimību akcelerācijas fāzē (AF) un blastu fāzē (BF), ja</w:t>
      </w:r>
      <w:r w:rsidR="00F50E3F" w:rsidRPr="00F50E3F">
        <w:rPr>
          <w:rFonts w:ascii="Times New Roman" w:hAnsi="Times New Roman" w:cs="Times New Roman"/>
          <w:sz w:val="24"/>
          <w:szCs w:val="24"/>
        </w:rPr>
        <w:t xml:space="preserve"> </w:t>
      </w:r>
      <w:r w:rsidRPr="00F50E3F">
        <w:rPr>
          <w:rFonts w:ascii="Times New Roman" w:hAnsi="Times New Roman" w:cs="Times New Roman"/>
          <w:sz w:val="24"/>
          <w:szCs w:val="24"/>
        </w:rPr>
        <w:t>pacienti iepriekš tika ārstēti ar vienu vai vairākiem tirozīnkināzes inhibitoriem [TKI] un nav</w:t>
      </w:r>
      <w:r w:rsidR="00F50E3F" w:rsidRPr="00F50E3F">
        <w:rPr>
          <w:rFonts w:ascii="Times New Roman" w:hAnsi="Times New Roman" w:cs="Times New Roman"/>
          <w:sz w:val="24"/>
          <w:szCs w:val="24"/>
        </w:rPr>
        <w:t xml:space="preserve"> </w:t>
      </w:r>
      <w:r w:rsidRPr="00F50E3F">
        <w:rPr>
          <w:rFonts w:ascii="Times New Roman" w:hAnsi="Times New Roman" w:cs="Times New Roman"/>
          <w:sz w:val="24"/>
          <w:szCs w:val="24"/>
        </w:rPr>
        <w:t>bijusi piemērota terapija ar imatinibu, nilotinibu vai dasatinibu</w:t>
      </w:r>
      <w:r w:rsidR="00F50E3F">
        <w:rPr>
          <w:rFonts w:ascii="Times New Roman" w:hAnsi="Times New Roman" w:cs="Times New Roman"/>
          <w:sz w:val="24"/>
          <w:szCs w:val="24"/>
        </w:rPr>
        <w:t>.</w:t>
      </w:r>
    </w:p>
    <w:p w14:paraId="1C676A24" w14:textId="77777777" w:rsidR="00F50E3F" w:rsidRPr="00F50E3F" w:rsidRDefault="00F50E3F" w:rsidP="00F50E3F">
      <w:pPr>
        <w:pStyle w:val="ListParagraph"/>
        <w:ind w:left="780"/>
        <w:jc w:val="both"/>
        <w:rPr>
          <w:rFonts w:ascii="Times New Roman" w:hAnsi="Times New Roman" w:cs="Times New Roman"/>
          <w:b/>
          <w:bCs/>
          <w:sz w:val="24"/>
          <w:szCs w:val="24"/>
        </w:rPr>
      </w:pPr>
    </w:p>
    <w:p w14:paraId="776EFC8A" w14:textId="1A6E6C46" w:rsidR="00F1728D" w:rsidRPr="000416C1" w:rsidRDefault="00734699" w:rsidP="000416C1">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P</w:t>
      </w:r>
      <w:r w:rsidR="00F1728D">
        <w:rPr>
          <w:rFonts w:ascii="Times New Roman" w:hAnsi="Times New Roman" w:cs="Times New Roman"/>
          <w:b/>
          <w:bCs/>
          <w:sz w:val="24"/>
          <w:szCs w:val="24"/>
        </w:rPr>
        <w:t>ievienota jauna blakne</w:t>
      </w:r>
      <w:r w:rsidR="00921A85">
        <w:rPr>
          <w:rFonts w:ascii="Times New Roman" w:hAnsi="Times New Roman" w:cs="Times New Roman"/>
          <w:b/>
          <w:bCs/>
          <w:sz w:val="24"/>
          <w:szCs w:val="24"/>
        </w:rPr>
        <w:t>:</w:t>
      </w:r>
    </w:p>
    <w:p w14:paraId="4B800162" w14:textId="5F6474C6" w:rsidR="00083015" w:rsidRPr="000416C1" w:rsidRDefault="00083015" w:rsidP="00F1728D">
      <w:pPr>
        <w:jc w:val="both"/>
        <w:rPr>
          <w:rFonts w:ascii="Times New Roman" w:hAnsi="Times New Roman" w:cs="Times New Roman"/>
          <w:b/>
          <w:bCs/>
          <w:sz w:val="24"/>
          <w:szCs w:val="24"/>
        </w:rPr>
      </w:pPr>
    </w:p>
    <w:p w14:paraId="68E97988" w14:textId="769ABF1E" w:rsidR="00472803" w:rsidRDefault="008E2598" w:rsidP="00832F30">
      <w:pPr>
        <w:jc w:val="both"/>
        <w:rPr>
          <w:rFonts w:ascii="Times New Roman" w:hAnsi="Times New Roman" w:cs="Times New Roman"/>
          <w:b/>
          <w:bCs/>
          <w:sz w:val="24"/>
          <w:szCs w:val="24"/>
        </w:rPr>
      </w:pPr>
      <w:r w:rsidRPr="00832F30">
        <w:rPr>
          <w:rFonts w:ascii="Times New Roman" w:hAnsi="Times New Roman" w:cs="Times New Roman"/>
          <w:b/>
          <w:bCs/>
          <w:sz w:val="24"/>
          <w:szCs w:val="24"/>
        </w:rPr>
        <w:t>Zāļu apraksts</w:t>
      </w:r>
    </w:p>
    <w:p w14:paraId="5BF83DB7" w14:textId="77777777" w:rsidR="00921A85" w:rsidRPr="00921A85" w:rsidRDefault="00921A85" w:rsidP="00921A85">
      <w:pPr>
        <w:rPr>
          <w:rFonts w:ascii="Times New Roman" w:hAnsi="Times New Roman" w:cs="Times New Roman"/>
          <w:sz w:val="24"/>
          <w:szCs w:val="24"/>
        </w:rPr>
      </w:pPr>
      <w:r w:rsidRPr="00921A85">
        <w:rPr>
          <w:rFonts w:ascii="Times New Roman" w:hAnsi="Times New Roman" w:cs="Times New Roman"/>
          <w:sz w:val="24"/>
          <w:szCs w:val="24"/>
        </w:rPr>
        <w:t>4.8 Nevēlamās blakusparādības</w:t>
      </w:r>
    </w:p>
    <w:p w14:paraId="5D648F8A" w14:textId="77777777" w:rsidR="00921A85" w:rsidRPr="005938C6" w:rsidRDefault="00921A85" w:rsidP="00921A85">
      <w:pPr>
        <w:rPr>
          <w:rFonts w:ascii="Times New Roman" w:hAnsi="Times New Roman" w:cs="Times New Roman"/>
          <w:b/>
          <w:bCs/>
          <w:sz w:val="24"/>
          <w:szCs w:val="24"/>
        </w:rPr>
      </w:pPr>
      <w:r w:rsidRPr="005938C6">
        <w:rPr>
          <w:rFonts w:ascii="Times New Roman" w:hAnsi="Times New Roman" w:cs="Times New Roman"/>
          <w:b/>
          <w:bCs/>
          <w:sz w:val="24"/>
          <w:szCs w:val="24"/>
        </w:rPr>
        <w:t>Ādas un zemādas audu bojājumi</w:t>
      </w:r>
    </w:p>
    <w:p w14:paraId="75E376D9" w14:textId="77777777" w:rsidR="00921A85" w:rsidRPr="00921A85" w:rsidRDefault="00921A85" w:rsidP="00921A85">
      <w:pPr>
        <w:rPr>
          <w:rFonts w:ascii="Times New Roman" w:hAnsi="Times New Roman" w:cs="Times New Roman"/>
          <w:sz w:val="24"/>
          <w:szCs w:val="24"/>
        </w:rPr>
      </w:pPr>
      <w:r w:rsidRPr="00921A85">
        <w:rPr>
          <w:rFonts w:ascii="Times New Roman" w:hAnsi="Times New Roman" w:cs="Times New Roman"/>
          <w:sz w:val="24"/>
          <w:szCs w:val="24"/>
        </w:rPr>
        <w:t>Biežums “retāk”:</w:t>
      </w:r>
    </w:p>
    <w:p w14:paraId="507797DC" w14:textId="32535B3E" w:rsidR="00002FBC" w:rsidRPr="00921A85" w:rsidRDefault="00921A85" w:rsidP="00921A85">
      <w:pPr>
        <w:rPr>
          <w:rFonts w:ascii="Times New Roman" w:hAnsi="Times New Roman" w:cs="Times New Roman"/>
          <w:sz w:val="24"/>
          <w:szCs w:val="24"/>
          <w:u w:val="single"/>
        </w:rPr>
      </w:pPr>
      <w:r w:rsidRPr="00921A85">
        <w:rPr>
          <w:rFonts w:ascii="Times New Roman" w:hAnsi="Times New Roman" w:cs="Times New Roman"/>
          <w:sz w:val="24"/>
          <w:szCs w:val="24"/>
          <w:u w:val="single"/>
        </w:rPr>
        <w:t>Ādas vaskulīts</w:t>
      </w:r>
    </w:p>
    <w:p w14:paraId="77F07F10" w14:textId="77777777" w:rsidR="00D0646A" w:rsidRDefault="00D0646A" w:rsidP="00094B6D">
      <w:pPr>
        <w:rPr>
          <w:rFonts w:ascii="Times New Roman" w:hAnsi="Times New Roman" w:cs="Times New Roman"/>
          <w:b/>
          <w:bCs/>
          <w:sz w:val="24"/>
          <w:szCs w:val="24"/>
        </w:rPr>
      </w:pPr>
    </w:p>
    <w:p w14:paraId="08A83DAE" w14:textId="2008429F" w:rsidR="00094B6D" w:rsidRPr="00094B6D" w:rsidRDefault="00094B6D" w:rsidP="00094B6D">
      <w:pPr>
        <w:rPr>
          <w:rFonts w:ascii="Times New Roman" w:hAnsi="Times New Roman" w:cs="Times New Roman"/>
          <w:b/>
          <w:bCs/>
          <w:sz w:val="24"/>
          <w:szCs w:val="24"/>
        </w:rPr>
      </w:pPr>
      <w:r w:rsidRPr="00094B6D">
        <w:rPr>
          <w:rFonts w:ascii="Times New Roman" w:hAnsi="Times New Roman" w:cs="Times New Roman"/>
          <w:b/>
          <w:bCs/>
          <w:sz w:val="24"/>
          <w:szCs w:val="24"/>
        </w:rPr>
        <w:lastRenderedPageBreak/>
        <w:t>Lietošanas instrukcija</w:t>
      </w:r>
    </w:p>
    <w:p w14:paraId="5742551B" w14:textId="77777777" w:rsidR="00921A85" w:rsidRPr="00921A85" w:rsidRDefault="00921A85" w:rsidP="00921A85">
      <w:pPr>
        <w:rPr>
          <w:rFonts w:ascii="Times New Roman" w:hAnsi="Times New Roman" w:cs="Times New Roman"/>
          <w:sz w:val="24"/>
          <w:szCs w:val="24"/>
        </w:rPr>
      </w:pPr>
      <w:r w:rsidRPr="00921A85">
        <w:rPr>
          <w:rFonts w:ascii="Times New Roman" w:hAnsi="Times New Roman" w:cs="Times New Roman"/>
          <w:sz w:val="24"/>
          <w:szCs w:val="24"/>
        </w:rPr>
        <w:t>4. Iespējamās blakusparādības</w:t>
      </w:r>
    </w:p>
    <w:p w14:paraId="26C7D603" w14:textId="77777777" w:rsidR="00921A85" w:rsidRPr="00921A85" w:rsidRDefault="00921A85" w:rsidP="00921A85">
      <w:pPr>
        <w:rPr>
          <w:rFonts w:ascii="Times New Roman" w:hAnsi="Times New Roman" w:cs="Times New Roman"/>
          <w:sz w:val="24"/>
          <w:szCs w:val="24"/>
        </w:rPr>
      </w:pPr>
      <w:r w:rsidRPr="00921A85">
        <w:rPr>
          <w:rFonts w:ascii="Times New Roman" w:hAnsi="Times New Roman" w:cs="Times New Roman"/>
          <w:sz w:val="24"/>
          <w:szCs w:val="24"/>
        </w:rPr>
        <w:t>Retāk (var rasties līdz 1 no 100 cilvēkiem)</w:t>
      </w:r>
    </w:p>
    <w:p w14:paraId="5CE20824" w14:textId="5B69E577" w:rsidR="00D300EE" w:rsidRPr="00921A85" w:rsidRDefault="00921A85" w:rsidP="00921A85">
      <w:pPr>
        <w:rPr>
          <w:rFonts w:ascii="Times New Roman" w:hAnsi="Times New Roman" w:cs="Times New Roman"/>
          <w:sz w:val="24"/>
          <w:szCs w:val="24"/>
          <w:u w:val="single"/>
        </w:rPr>
      </w:pPr>
      <w:r w:rsidRPr="00921A85">
        <w:rPr>
          <w:rFonts w:ascii="Times New Roman" w:hAnsi="Times New Roman" w:cs="Times New Roman"/>
          <w:sz w:val="24"/>
          <w:szCs w:val="24"/>
          <w:u w:val="single"/>
        </w:rPr>
        <w:t>Ādas asinsvadu iekaisums, kas var izraisīt izsitumus vai zilumu veidošanos (ādas vaskulīts).</w:t>
      </w:r>
    </w:p>
    <w:p w14:paraId="6DDD3A97" w14:textId="77777777" w:rsidR="00D300EE" w:rsidRDefault="00D300EE" w:rsidP="005F2333">
      <w:pPr>
        <w:rPr>
          <w:rFonts w:ascii="Times New Roman" w:hAnsi="Times New Roman" w:cs="Times New Roman"/>
          <w:sz w:val="24"/>
          <w:szCs w:val="24"/>
          <w:u w:val="single"/>
        </w:rPr>
      </w:pPr>
    </w:p>
    <w:p w14:paraId="238410DF" w14:textId="77777777" w:rsidR="00646E40" w:rsidRDefault="00646E40" w:rsidP="005F2333">
      <w:pPr>
        <w:rPr>
          <w:rFonts w:ascii="Times New Roman" w:hAnsi="Times New Roman" w:cs="Times New Roman"/>
          <w:sz w:val="24"/>
          <w:szCs w:val="24"/>
          <w:u w:val="single"/>
        </w:rPr>
      </w:pPr>
    </w:p>
    <w:p w14:paraId="271414BB" w14:textId="77777777" w:rsidR="00646E40" w:rsidRDefault="00646E40" w:rsidP="005F2333">
      <w:pPr>
        <w:rPr>
          <w:rFonts w:ascii="Times New Roman" w:hAnsi="Times New Roman" w:cs="Times New Roman"/>
          <w:sz w:val="24"/>
          <w:szCs w:val="24"/>
          <w:u w:val="single"/>
        </w:rPr>
      </w:pPr>
    </w:p>
    <w:p w14:paraId="637A4A35" w14:textId="2B68B202" w:rsidR="00C618BC" w:rsidRPr="00E70C3C" w:rsidRDefault="00646E40" w:rsidP="00B451C2">
      <w:pPr>
        <w:jc w:val="both"/>
        <w:rPr>
          <w:rFonts w:ascii="Times New Roman" w:hAnsi="Times New Roman" w:cs="Times New Roman"/>
          <w:b/>
          <w:bCs/>
          <w:color w:val="0070C0"/>
          <w:sz w:val="32"/>
          <w:szCs w:val="32"/>
        </w:rPr>
      </w:pPr>
      <w:r w:rsidRPr="00E70C3C">
        <w:rPr>
          <w:rFonts w:ascii="Times New Roman" w:hAnsi="Times New Roman" w:cs="Times New Roman"/>
          <w:b/>
          <w:bCs/>
          <w:color w:val="0070C0"/>
          <w:sz w:val="32"/>
          <w:szCs w:val="32"/>
        </w:rPr>
        <w:t xml:space="preserve">Datopotamaba derukstekāns  </w:t>
      </w:r>
    </w:p>
    <w:p w14:paraId="49B9D794" w14:textId="708CA60A" w:rsidR="00C618BC" w:rsidRPr="00CB59CC" w:rsidRDefault="00C618BC" w:rsidP="00B451C2">
      <w:pPr>
        <w:jc w:val="both"/>
        <w:rPr>
          <w:rFonts w:ascii="Times New Roman" w:hAnsi="Times New Roman" w:cs="Times New Roman"/>
          <w:b/>
          <w:bCs/>
          <w:color w:val="002060"/>
          <w:sz w:val="32"/>
          <w:szCs w:val="32"/>
        </w:rPr>
      </w:pPr>
      <w:r>
        <w:rPr>
          <w:rFonts w:ascii="Times New Roman" w:hAnsi="Times New Roman" w:cs="Times New Roman"/>
          <w:b/>
          <w:bCs/>
          <w:sz w:val="32"/>
          <w:szCs w:val="32"/>
        </w:rPr>
        <w:t>Jauna blakne</w:t>
      </w:r>
      <w:r w:rsidR="00646E40">
        <w:rPr>
          <w:rFonts w:ascii="Times New Roman" w:hAnsi="Times New Roman" w:cs="Times New Roman"/>
          <w:b/>
          <w:bCs/>
          <w:sz w:val="32"/>
          <w:szCs w:val="32"/>
        </w:rPr>
        <w:t xml:space="preserve"> - </w:t>
      </w:r>
      <w:r w:rsidR="00646E40" w:rsidRPr="00E70C3C">
        <w:rPr>
          <w:rFonts w:ascii="Times New Roman" w:hAnsi="Times New Roman" w:cs="Times New Roman"/>
          <w:b/>
          <w:bCs/>
          <w:color w:val="0070C0"/>
          <w:sz w:val="32"/>
          <w:szCs w:val="32"/>
        </w:rPr>
        <w:t>anafilaktiska reakcija</w:t>
      </w:r>
    </w:p>
    <w:p w14:paraId="1B6CE9FB" w14:textId="77777777" w:rsidR="002F4265" w:rsidRPr="002F4265" w:rsidRDefault="002F4265" w:rsidP="002F4265">
      <w:pPr>
        <w:jc w:val="both"/>
        <w:rPr>
          <w:rFonts w:ascii="Times New Roman" w:hAnsi="Times New Roman" w:cs="Times New Roman"/>
          <w:b/>
          <w:bCs/>
          <w:color w:val="C00000"/>
          <w:sz w:val="28"/>
          <w:szCs w:val="28"/>
        </w:rPr>
      </w:pPr>
    </w:p>
    <w:p w14:paraId="737466C6" w14:textId="77777777" w:rsidR="001311F7" w:rsidRDefault="00734A4E" w:rsidP="00CB59CC">
      <w:pPr>
        <w:pStyle w:val="ListParagraph"/>
        <w:numPr>
          <w:ilvl w:val="0"/>
          <w:numId w:val="21"/>
        </w:numPr>
        <w:jc w:val="both"/>
        <w:rPr>
          <w:rFonts w:ascii="Times New Roman" w:hAnsi="Times New Roman" w:cs="Times New Roman"/>
          <w:b/>
          <w:bCs/>
          <w:sz w:val="24"/>
          <w:szCs w:val="24"/>
        </w:rPr>
      </w:pPr>
      <w:r w:rsidRPr="00CB59CC">
        <w:rPr>
          <w:rFonts w:ascii="Times New Roman" w:hAnsi="Times New Roman" w:cs="Times New Roman"/>
          <w:b/>
          <w:bCs/>
          <w:sz w:val="24"/>
          <w:szCs w:val="24"/>
        </w:rPr>
        <w:t>Indikācija</w:t>
      </w:r>
      <w:r w:rsidR="00323E69" w:rsidRPr="00CB59CC">
        <w:rPr>
          <w:rFonts w:ascii="Times New Roman" w:hAnsi="Times New Roman" w:cs="Times New Roman"/>
          <w:b/>
          <w:bCs/>
          <w:sz w:val="24"/>
          <w:szCs w:val="24"/>
        </w:rPr>
        <w:t>s</w:t>
      </w:r>
      <w:r w:rsidRPr="00CB59CC">
        <w:rPr>
          <w:rFonts w:ascii="Times New Roman" w:hAnsi="Times New Roman" w:cs="Times New Roman"/>
          <w:b/>
          <w:bCs/>
          <w:sz w:val="24"/>
          <w:szCs w:val="24"/>
        </w:rPr>
        <w:t xml:space="preserve">: </w:t>
      </w:r>
    </w:p>
    <w:p w14:paraId="048881A3" w14:textId="263C5A2C" w:rsidR="00141E41" w:rsidRPr="003A0E4A" w:rsidRDefault="00CB59CC" w:rsidP="003A0E4A">
      <w:pPr>
        <w:pStyle w:val="ListParagraph"/>
        <w:numPr>
          <w:ilvl w:val="0"/>
          <w:numId w:val="33"/>
        </w:numPr>
        <w:jc w:val="both"/>
        <w:rPr>
          <w:rFonts w:ascii="Times New Roman" w:hAnsi="Times New Roman" w:cs="Times New Roman"/>
          <w:b/>
          <w:bCs/>
          <w:sz w:val="24"/>
          <w:szCs w:val="24"/>
        </w:rPr>
      </w:pPr>
      <w:r w:rsidRPr="003A0E4A">
        <w:rPr>
          <w:rFonts w:ascii="Times New Roman" w:hAnsi="Times New Roman" w:cs="Times New Roman"/>
          <w:sz w:val="24"/>
          <w:szCs w:val="24"/>
        </w:rPr>
        <w:t>pieaugušu pacientu ārstēšanai, kuriem ir nerezecējams vai metastātisks hormonu receptoru (HR) pozitīvs, cilvēka epidermālā augšanas faktora 2 (</w:t>
      </w:r>
      <w:r w:rsidRPr="003A0E4A">
        <w:rPr>
          <w:rFonts w:ascii="Times New Roman" w:hAnsi="Times New Roman" w:cs="Times New Roman"/>
          <w:i/>
          <w:iCs/>
          <w:sz w:val="24"/>
          <w:szCs w:val="24"/>
        </w:rPr>
        <w:t>human epidermal growth factor receptor 2 – HER2</w:t>
      </w:r>
      <w:r w:rsidRPr="003A0E4A">
        <w:rPr>
          <w:rFonts w:ascii="Times New Roman" w:hAnsi="Times New Roman" w:cs="Times New Roman"/>
          <w:sz w:val="24"/>
          <w:szCs w:val="24"/>
        </w:rPr>
        <w:t>) negatīvs krūts vēzis un kuri progresējošas slimības ārstēšanai iepriekš ir saņēmuši endokrīno terapiju un vismaz vienu ķīmijterapijas shēmu</w:t>
      </w:r>
      <w:r w:rsidR="001311F7" w:rsidRPr="003A0E4A">
        <w:rPr>
          <w:rFonts w:ascii="Times New Roman" w:hAnsi="Times New Roman" w:cs="Times New Roman"/>
          <w:sz w:val="24"/>
          <w:szCs w:val="24"/>
        </w:rPr>
        <w:t>.</w:t>
      </w:r>
    </w:p>
    <w:p w14:paraId="63E8C869" w14:textId="77777777" w:rsidR="003A0E4A" w:rsidRPr="003A0E4A" w:rsidRDefault="003A0E4A" w:rsidP="003A0E4A">
      <w:pPr>
        <w:pStyle w:val="ListParagraph"/>
        <w:jc w:val="both"/>
        <w:rPr>
          <w:rFonts w:ascii="Times New Roman" w:hAnsi="Times New Roman" w:cs="Times New Roman"/>
          <w:b/>
          <w:bCs/>
          <w:sz w:val="24"/>
          <w:szCs w:val="24"/>
        </w:rPr>
      </w:pPr>
    </w:p>
    <w:p w14:paraId="7C75DB9E" w14:textId="67A11119" w:rsidR="008E2598" w:rsidRPr="007B137B" w:rsidRDefault="00174A82" w:rsidP="007B137B">
      <w:pPr>
        <w:pStyle w:val="ListParagraph"/>
        <w:numPr>
          <w:ilvl w:val="0"/>
          <w:numId w:val="21"/>
        </w:numPr>
        <w:jc w:val="both"/>
        <w:rPr>
          <w:rFonts w:ascii="Times New Roman" w:hAnsi="Times New Roman" w:cs="Times New Roman"/>
          <w:b/>
          <w:bCs/>
          <w:color w:val="0070C0"/>
          <w:sz w:val="24"/>
          <w:szCs w:val="24"/>
        </w:rPr>
      </w:pPr>
      <w:r>
        <w:rPr>
          <w:rFonts w:ascii="Times New Roman" w:hAnsi="Times New Roman" w:cs="Times New Roman"/>
          <w:b/>
          <w:bCs/>
          <w:sz w:val="24"/>
          <w:szCs w:val="24"/>
        </w:rPr>
        <w:t>P</w:t>
      </w:r>
      <w:r w:rsidR="00734A4E" w:rsidRPr="007B137B">
        <w:rPr>
          <w:rFonts w:ascii="Times New Roman" w:hAnsi="Times New Roman" w:cs="Times New Roman"/>
          <w:b/>
          <w:bCs/>
          <w:sz w:val="24"/>
          <w:szCs w:val="24"/>
        </w:rPr>
        <w:t>ievienot</w:t>
      </w:r>
      <w:r w:rsidR="00EA27F2" w:rsidRPr="007B137B">
        <w:rPr>
          <w:rFonts w:ascii="Times New Roman" w:hAnsi="Times New Roman" w:cs="Times New Roman"/>
          <w:b/>
          <w:bCs/>
          <w:sz w:val="24"/>
          <w:szCs w:val="24"/>
        </w:rPr>
        <w:t>a</w:t>
      </w:r>
      <w:r w:rsidR="00734A4E" w:rsidRPr="007B137B">
        <w:rPr>
          <w:rFonts w:ascii="Times New Roman" w:hAnsi="Times New Roman" w:cs="Times New Roman"/>
          <w:b/>
          <w:bCs/>
          <w:sz w:val="24"/>
          <w:szCs w:val="24"/>
        </w:rPr>
        <w:t xml:space="preserve"> jaun</w:t>
      </w:r>
      <w:r w:rsidR="00EA27F2" w:rsidRPr="007B137B">
        <w:rPr>
          <w:rFonts w:ascii="Times New Roman" w:hAnsi="Times New Roman" w:cs="Times New Roman"/>
          <w:b/>
          <w:bCs/>
          <w:sz w:val="24"/>
          <w:szCs w:val="24"/>
        </w:rPr>
        <w:t xml:space="preserve">a </w:t>
      </w:r>
      <w:r w:rsidR="00AC58DB">
        <w:rPr>
          <w:rFonts w:ascii="Times New Roman" w:hAnsi="Times New Roman" w:cs="Times New Roman"/>
          <w:b/>
          <w:bCs/>
          <w:sz w:val="24"/>
          <w:szCs w:val="24"/>
        </w:rPr>
        <w:t>drošuma informācija</w:t>
      </w:r>
      <w:r w:rsidR="00570435" w:rsidRPr="007B137B">
        <w:rPr>
          <w:rFonts w:ascii="Times New Roman" w:hAnsi="Times New Roman" w:cs="Times New Roman"/>
          <w:b/>
          <w:bCs/>
          <w:sz w:val="24"/>
          <w:szCs w:val="24"/>
        </w:rPr>
        <w:t xml:space="preserve">: </w:t>
      </w:r>
      <w:r w:rsidR="00B451C2" w:rsidRPr="007B137B">
        <w:rPr>
          <w:rFonts w:ascii="Times New Roman" w:hAnsi="Times New Roman" w:cs="Times New Roman"/>
          <w:b/>
          <w:bCs/>
        </w:rPr>
        <w:t xml:space="preserve"> </w:t>
      </w:r>
    </w:p>
    <w:p w14:paraId="421FAFB5" w14:textId="77777777" w:rsidR="00646E40" w:rsidRDefault="00646E40" w:rsidP="002F4265">
      <w:pPr>
        <w:rPr>
          <w:rFonts w:ascii="Times New Roman" w:hAnsi="Times New Roman" w:cs="Times New Roman"/>
          <w:b/>
          <w:bCs/>
          <w:sz w:val="24"/>
          <w:szCs w:val="24"/>
        </w:rPr>
      </w:pPr>
    </w:p>
    <w:p w14:paraId="591D2EF5" w14:textId="7244528C" w:rsidR="002F4265" w:rsidRDefault="002F4265" w:rsidP="002F4265">
      <w:pPr>
        <w:rPr>
          <w:rFonts w:ascii="Times New Roman" w:hAnsi="Times New Roman" w:cs="Times New Roman"/>
          <w:b/>
          <w:bCs/>
          <w:sz w:val="24"/>
          <w:szCs w:val="24"/>
        </w:rPr>
      </w:pPr>
      <w:r w:rsidRPr="002F4265">
        <w:rPr>
          <w:rFonts w:ascii="Times New Roman" w:hAnsi="Times New Roman" w:cs="Times New Roman"/>
          <w:b/>
          <w:bCs/>
          <w:sz w:val="24"/>
          <w:szCs w:val="24"/>
        </w:rPr>
        <w:t>Zāļu apraksts</w:t>
      </w:r>
    </w:p>
    <w:p w14:paraId="1B0613EF" w14:textId="77777777" w:rsidR="00A64891" w:rsidRPr="00A64891" w:rsidRDefault="00A64891" w:rsidP="00A64891">
      <w:pPr>
        <w:rPr>
          <w:rFonts w:ascii="Times New Roman" w:hAnsi="Times New Roman" w:cs="Times New Roman"/>
          <w:sz w:val="24"/>
          <w:szCs w:val="24"/>
        </w:rPr>
      </w:pPr>
      <w:r w:rsidRPr="00A64891">
        <w:rPr>
          <w:rFonts w:ascii="Times New Roman" w:hAnsi="Times New Roman" w:cs="Times New Roman"/>
          <w:sz w:val="24"/>
          <w:szCs w:val="24"/>
        </w:rPr>
        <w:t>4.4 Īpaši brīdinājumi un piesardzība lietošanā</w:t>
      </w:r>
    </w:p>
    <w:p w14:paraId="53377DA8" w14:textId="77777777" w:rsidR="00A64891" w:rsidRPr="00A64891" w:rsidRDefault="00A64891" w:rsidP="00A64891">
      <w:pPr>
        <w:jc w:val="both"/>
        <w:rPr>
          <w:rFonts w:ascii="Times New Roman" w:hAnsi="Times New Roman" w:cs="Times New Roman"/>
          <w:sz w:val="24"/>
          <w:szCs w:val="24"/>
          <w:u w:val="single"/>
        </w:rPr>
      </w:pPr>
      <w:r w:rsidRPr="00A64891">
        <w:rPr>
          <w:rFonts w:ascii="Times New Roman" w:hAnsi="Times New Roman" w:cs="Times New Roman"/>
          <w:sz w:val="24"/>
          <w:szCs w:val="24"/>
          <w:u w:val="single"/>
        </w:rPr>
        <w:t>Paaugstināta jutība</w:t>
      </w:r>
    </w:p>
    <w:p w14:paraId="22301BBA" w14:textId="12DC7AF6" w:rsidR="00C85C2D" w:rsidRPr="00A64891" w:rsidRDefault="00A64891" w:rsidP="00A64891">
      <w:pPr>
        <w:jc w:val="both"/>
        <w:rPr>
          <w:rFonts w:ascii="Times New Roman" w:hAnsi="Times New Roman" w:cs="Times New Roman"/>
          <w:sz w:val="24"/>
          <w:szCs w:val="24"/>
          <w:u w:val="single"/>
        </w:rPr>
      </w:pPr>
      <w:r w:rsidRPr="00A64891">
        <w:rPr>
          <w:rFonts w:ascii="Times New Roman" w:hAnsi="Times New Roman" w:cs="Times New Roman"/>
          <w:sz w:val="24"/>
          <w:szCs w:val="24"/>
          <w:u w:val="single"/>
        </w:rPr>
        <w:t>Lietojot datopotamaba derukstekānu, ir novērotas nopietnas anafilaktiskas reakcijas. Pacienti rūpīgi jānovēro, lai konstatētu, vai nerodas paaugstinātas jutības/alerģiskas reakcijas, kurām var būt tāda pati klīniskā aina kā ar infūziju saistītai reakcijai. Zālēm šādu reakciju ārstēšanai, kā arī neatliekamās palīdzības aprīkojumam jābūt pieejamam tūlītējai lietošanai. Nopietnas paaugstinātas jutības reakcijas gadījumā ārstēšana ar datopotamaba derukstekānu nekavējoties un neatgriezeniski jāizbeidz.</w:t>
      </w:r>
    </w:p>
    <w:p w14:paraId="07B57EFE" w14:textId="77777777" w:rsidR="00604798" w:rsidRPr="00604798" w:rsidRDefault="00604798" w:rsidP="00604798">
      <w:pPr>
        <w:jc w:val="both"/>
        <w:rPr>
          <w:rFonts w:ascii="Times New Roman" w:hAnsi="Times New Roman" w:cs="Times New Roman"/>
          <w:sz w:val="24"/>
          <w:szCs w:val="24"/>
        </w:rPr>
      </w:pPr>
      <w:r w:rsidRPr="00604798">
        <w:rPr>
          <w:rFonts w:ascii="Times New Roman" w:hAnsi="Times New Roman" w:cs="Times New Roman"/>
          <w:sz w:val="24"/>
          <w:szCs w:val="24"/>
          <w:u w:val="single"/>
        </w:rPr>
        <w:t>4</w:t>
      </w:r>
      <w:r w:rsidRPr="00604798">
        <w:rPr>
          <w:rFonts w:ascii="Times New Roman" w:hAnsi="Times New Roman" w:cs="Times New Roman"/>
          <w:sz w:val="24"/>
          <w:szCs w:val="24"/>
        </w:rPr>
        <w:t>.8 Nevēlamās blakusparādības</w:t>
      </w:r>
    </w:p>
    <w:p w14:paraId="6E1AC2A1" w14:textId="77777777" w:rsidR="00604798" w:rsidRPr="00604798" w:rsidRDefault="00604798" w:rsidP="00604798">
      <w:pPr>
        <w:jc w:val="both"/>
        <w:rPr>
          <w:rFonts w:ascii="Times New Roman" w:hAnsi="Times New Roman" w:cs="Times New Roman"/>
          <w:sz w:val="24"/>
          <w:szCs w:val="24"/>
        </w:rPr>
      </w:pPr>
      <w:r w:rsidRPr="00604798">
        <w:rPr>
          <w:rFonts w:ascii="Times New Roman" w:hAnsi="Times New Roman" w:cs="Times New Roman"/>
          <w:sz w:val="24"/>
          <w:szCs w:val="24"/>
        </w:rPr>
        <w:t>Imūnās sistēmas traucējumi</w:t>
      </w:r>
    </w:p>
    <w:p w14:paraId="13A9973F" w14:textId="77777777" w:rsidR="00604798" w:rsidRPr="00604798" w:rsidRDefault="00604798" w:rsidP="00604798">
      <w:pPr>
        <w:jc w:val="both"/>
        <w:rPr>
          <w:rFonts w:ascii="Times New Roman" w:hAnsi="Times New Roman" w:cs="Times New Roman"/>
          <w:sz w:val="24"/>
          <w:szCs w:val="24"/>
        </w:rPr>
      </w:pPr>
      <w:r w:rsidRPr="00604798">
        <w:rPr>
          <w:rFonts w:ascii="Times New Roman" w:hAnsi="Times New Roman" w:cs="Times New Roman"/>
          <w:sz w:val="24"/>
          <w:szCs w:val="24"/>
        </w:rPr>
        <w:t>Biežums: nav zināms</w:t>
      </w:r>
    </w:p>
    <w:p w14:paraId="6FD9C886" w14:textId="6C1C0FFF" w:rsidR="00DF25EE" w:rsidRDefault="00604798" w:rsidP="00604798">
      <w:pPr>
        <w:jc w:val="both"/>
        <w:rPr>
          <w:rFonts w:ascii="Times New Roman" w:hAnsi="Times New Roman" w:cs="Times New Roman"/>
          <w:sz w:val="24"/>
          <w:szCs w:val="24"/>
          <w:u w:val="single"/>
        </w:rPr>
      </w:pPr>
      <w:r w:rsidRPr="00604798">
        <w:rPr>
          <w:rFonts w:ascii="Times New Roman" w:hAnsi="Times New Roman" w:cs="Times New Roman"/>
          <w:sz w:val="24"/>
          <w:szCs w:val="24"/>
          <w:u w:val="single"/>
        </w:rPr>
        <w:t>Anafilaktiska reakcija</w:t>
      </w:r>
    </w:p>
    <w:p w14:paraId="5BCA899F" w14:textId="77777777" w:rsidR="00604798" w:rsidRDefault="00604798" w:rsidP="00604798">
      <w:pPr>
        <w:jc w:val="both"/>
        <w:rPr>
          <w:rFonts w:ascii="Times New Roman" w:hAnsi="Times New Roman" w:cs="Times New Roman"/>
          <w:sz w:val="24"/>
          <w:szCs w:val="24"/>
          <w:u w:val="single"/>
        </w:rPr>
      </w:pPr>
    </w:p>
    <w:p w14:paraId="0AE4749B" w14:textId="77777777" w:rsidR="00DF25EE" w:rsidRPr="00DF25EE" w:rsidRDefault="00DF25EE" w:rsidP="00DF25EE">
      <w:pPr>
        <w:jc w:val="both"/>
        <w:rPr>
          <w:rFonts w:ascii="Times New Roman" w:hAnsi="Times New Roman" w:cs="Times New Roman"/>
          <w:b/>
          <w:bCs/>
          <w:sz w:val="24"/>
          <w:szCs w:val="24"/>
        </w:rPr>
      </w:pPr>
      <w:r w:rsidRPr="00DF25EE">
        <w:rPr>
          <w:rFonts w:ascii="Times New Roman" w:hAnsi="Times New Roman" w:cs="Times New Roman"/>
          <w:b/>
          <w:bCs/>
          <w:sz w:val="24"/>
          <w:szCs w:val="24"/>
        </w:rPr>
        <w:lastRenderedPageBreak/>
        <w:t>Lietošanas instrukcija</w:t>
      </w:r>
    </w:p>
    <w:p w14:paraId="38036116" w14:textId="77777777" w:rsidR="000C51D5" w:rsidRPr="000C51D5" w:rsidRDefault="000C51D5" w:rsidP="000C51D5">
      <w:pPr>
        <w:jc w:val="both"/>
        <w:rPr>
          <w:rFonts w:ascii="Times New Roman" w:hAnsi="Times New Roman" w:cs="Times New Roman"/>
          <w:sz w:val="24"/>
          <w:szCs w:val="24"/>
        </w:rPr>
      </w:pPr>
      <w:r w:rsidRPr="000C51D5">
        <w:rPr>
          <w:rFonts w:ascii="Times New Roman" w:hAnsi="Times New Roman" w:cs="Times New Roman"/>
          <w:sz w:val="24"/>
          <w:szCs w:val="24"/>
        </w:rPr>
        <w:t>2. Kas Jums jāzina pirms Datroway lietošanas</w:t>
      </w:r>
    </w:p>
    <w:p w14:paraId="74B0521F" w14:textId="77777777" w:rsidR="000C51D5" w:rsidRPr="000C51D5" w:rsidRDefault="000C51D5" w:rsidP="000C51D5">
      <w:pPr>
        <w:jc w:val="both"/>
        <w:rPr>
          <w:rFonts w:ascii="Times New Roman" w:hAnsi="Times New Roman" w:cs="Times New Roman"/>
          <w:sz w:val="24"/>
          <w:szCs w:val="24"/>
        </w:rPr>
      </w:pPr>
      <w:r w:rsidRPr="000C51D5">
        <w:rPr>
          <w:rFonts w:ascii="Times New Roman" w:hAnsi="Times New Roman" w:cs="Times New Roman"/>
          <w:sz w:val="24"/>
          <w:szCs w:val="24"/>
        </w:rPr>
        <w:t>Brīdinājumi un piesardzība lietošanā</w:t>
      </w:r>
    </w:p>
    <w:p w14:paraId="2B4B53E4" w14:textId="77777777" w:rsidR="000C51D5" w:rsidRPr="000C51D5" w:rsidRDefault="000C51D5" w:rsidP="000C51D5">
      <w:pPr>
        <w:jc w:val="both"/>
        <w:rPr>
          <w:rFonts w:ascii="Times New Roman" w:hAnsi="Times New Roman" w:cs="Times New Roman"/>
          <w:sz w:val="24"/>
          <w:szCs w:val="24"/>
          <w:u w:val="single"/>
        </w:rPr>
      </w:pPr>
      <w:r w:rsidRPr="000C51D5">
        <w:rPr>
          <w:rFonts w:ascii="Times New Roman" w:hAnsi="Times New Roman" w:cs="Times New Roman"/>
          <w:sz w:val="24"/>
          <w:szCs w:val="24"/>
          <w:u w:val="single"/>
        </w:rPr>
        <w:t>Datroway var arī izraisīt:</w:t>
      </w:r>
    </w:p>
    <w:p w14:paraId="03DE2993" w14:textId="77777777" w:rsidR="000C51D5" w:rsidRPr="000C51D5" w:rsidRDefault="000C51D5" w:rsidP="000C51D5">
      <w:pPr>
        <w:jc w:val="both"/>
        <w:rPr>
          <w:rFonts w:ascii="Times New Roman" w:hAnsi="Times New Roman" w:cs="Times New Roman"/>
          <w:sz w:val="24"/>
          <w:szCs w:val="24"/>
          <w:u w:val="single"/>
        </w:rPr>
      </w:pPr>
      <w:r w:rsidRPr="000C51D5">
        <w:rPr>
          <w:rFonts w:ascii="Times New Roman" w:hAnsi="Times New Roman" w:cs="Times New Roman"/>
          <w:sz w:val="24"/>
          <w:szCs w:val="24"/>
          <w:u w:val="single"/>
        </w:rPr>
        <w:t>• alerģiskas reakcijas, tai skaitā anafilaksi: alerģiskas reakcijas, kas var būt nopietnas, var rasties infūzijas laikā vai neilgi pēc tās. Datroway lietošanas laikā ārsts Jūs rūpīgi novēros. Informāciju par alerģisku reakciju pazīmēm un simptomiem skatīt 4. punktā Iespējamās blakusparādības.</w:t>
      </w:r>
    </w:p>
    <w:p w14:paraId="7CED9469" w14:textId="77777777" w:rsidR="000C51D5" w:rsidRDefault="000C51D5" w:rsidP="000C51D5">
      <w:pPr>
        <w:jc w:val="both"/>
        <w:rPr>
          <w:rFonts w:ascii="Times New Roman" w:hAnsi="Times New Roman" w:cs="Times New Roman"/>
          <w:sz w:val="24"/>
          <w:szCs w:val="24"/>
          <w:u w:val="single"/>
        </w:rPr>
      </w:pPr>
      <w:r w:rsidRPr="000C51D5">
        <w:rPr>
          <w:rFonts w:ascii="Times New Roman" w:hAnsi="Times New Roman" w:cs="Times New Roman"/>
          <w:sz w:val="24"/>
          <w:szCs w:val="24"/>
          <w:u w:val="single"/>
        </w:rPr>
        <w:t>Ja Jums radīsies nopietna alerģiska reakcija, ārsts Jums pilnībā pārtrauks ārstēšanu.</w:t>
      </w:r>
    </w:p>
    <w:p w14:paraId="3E2A9204" w14:textId="77777777" w:rsidR="000C51D5" w:rsidRPr="000C51D5" w:rsidRDefault="000C51D5" w:rsidP="000C51D5">
      <w:pPr>
        <w:jc w:val="both"/>
        <w:rPr>
          <w:rFonts w:ascii="Times New Roman" w:hAnsi="Times New Roman" w:cs="Times New Roman"/>
          <w:sz w:val="24"/>
          <w:szCs w:val="24"/>
          <w:u w:val="single"/>
        </w:rPr>
      </w:pPr>
    </w:p>
    <w:p w14:paraId="2139E857" w14:textId="3C8E1033" w:rsidR="000C51D5" w:rsidRPr="0053001E" w:rsidRDefault="000C51D5" w:rsidP="000C51D5">
      <w:pPr>
        <w:jc w:val="both"/>
        <w:rPr>
          <w:rFonts w:ascii="Times New Roman" w:hAnsi="Times New Roman" w:cs="Times New Roman"/>
          <w:sz w:val="24"/>
          <w:szCs w:val="24"/>
        </w:rPr>
      </w:pPr>
      <w:r w:rsidRPr="000C51D5">
        <w:rPr>
          <w:rFonts w:ascii="Times New Roman" w:hAnsi="Times New Roman" w:cs="Times New Roman"/>
          <w:sz w:val="24"/>
          <w:szCs w:val="24"/>
        </w:rPr>
        <w:t>4. Iespējamās blakusparādības</w:t>
      </w:r>
    </w:p>
    <w:p w14:paraId="366D0ED3" w14:textId="2CA4DE55" w:rsidR="000C51D5" w:rsidRPr="000C51D5" w:rsidRDefault="000C51D5" w:rsidP="000C51D5">
      <w:pPr>
        <w:jc w:val="both"/>
        <w:rPr>
          <w:rFonts w:ascii="Times New Roman" w:hAnsi="Times New Roman" w:cs="Times New Roman"/>
          <w:sz w:val="24"/>
          <w:szCs w:val="24"/>
          <w:u w:val="single"/>
        </w:rPr>
      </w:pPr>
      <w:r w:rsidRPr="000C51D5">
        <w:rPr>
          <w:rFonts w:ascii="Times New Roman" w:hAnsi="Times New Roman" w:cs="Times New Roman"/>
          <w:sz w:val="24"/>
          <w:szCs w:val="24"/>
          <w:u w:val="single"/>
        </w:rPr>
        <w:t>Dažas blakusparādības var būt nopietnas un, iespējams, letālas. Nekavējoties konsultējieties ar ārstu vai medmāsu, ja pamanāt kādu no turpmāk minētajām reakcijām.</w:t>
      </w:r>
    </w:p>
    <w:p w14:paraId="10DE87D3" w14:textId="4BF226EA" w:rsidR="000C51D5" w:rsidRPr="000C51D5" w:rsidRDefault="000C51D5" w:rsidP="000C51D5">
      <w:pPr>
        <w:jc w:val="both"/>
        <w:rPr>
          <w:rFonts w:ascii="Times New Roman" w:hAnsi="Times New Roman" w:cs="Times New Roman"/>
          <w:sz w:val="24"/>
          <w:szCs w:val="24"/>
          <w:u w:val="single"/>
        </w:rPr>
      </w:pPr>
      <w:r w:rsidRPr="000C51D5">
        <w:rPr>
          <w:rFonts w:ascii="Times New Roman" w:hAnsi="Times New Roman" w:cs="Times New Roman"/>
          <w:sz w:val="24"/>
          <w:szCs w:val="24"/>
          <w:u w:val="single"/>
        </w:rPr>
        <w:t>Nav zināms (biežumu nevar noteikt pēc pieejamiem datiem)</w:t>
      </w:r>
      <w:r w:rsidR="0053001E">
        <w:rPr>
          <w:rFonts w:ascii="Times New Roman" w:hAnsi="Times New Roman" w:cs="Times New Roman"/>
          <w:sz w:val="24"/>
          <w:szCs w:val="24"/>
          <w:u w:val="single"/>
        </w:rPr>
        <w:t>:</w:t>
      </w:r>
    </w:p>
    <w:p w14:paraId="40FC50AC" w14:textId="440D74F5" w:rsidR="00DF25EE" w:rsidRDefault="000C51D5" w:rsidP="000C51D5">
      <w:pPr>
        <w:jc w:val="both"/>
        <w:rPr>
          <w:rFonts w:ascii="Times New Roman" w:hAnsi="Times New Roman" w:cs="Times New Roman"/>
          <w:sz w:val="24"/>
          <w:szCs w:val="24"/>
          <w:u w:val="single"/>
        </w:rPr>
      </w:pPr>
      <w:r w:rsidRPr="000C51D5">
        <w:rPr>
          <w:rFonts w:ascii="Times New Roman" w:hAnsi="Times New Roman" w:cs="Times New Roman"/>
          <w:sz w:val="24"/>
          <w:szCs w:val="24"/>
          <w:u w:val="single"/>
        </w:rPr>
        <w:t>• Alerģiska reakcija, tai skaitā anafilakse: var būt pazīmes un simptomi, piemēram, izsitumi, izteikta nieze, pietvīkums, reibonis, sejas, lūpu, mēles un/vai rīkles pietūkums (angioedēma), apgrūtināta elpošana vai norīšana un/vai zems asinsspiediens.</w:t>
      </w:r>
    </w:p>
    <w:p w14:paraId="2F3B8160" w14:textId="77777777" w:rsidR="005938C6" w:rsidRDefault="005938C6" w:rsidP="00F84D24">
      <w:pPr>
        <w:jc w:val="both"/>
        <w:rPr>
          <w:rFonts w:ascii="Times New Roman" w:hAnsi="Times New Roman" w:cs="Times New Roman"/>
          <w:sz w:val="24"/>
          <w:szCs w:val="24"/>
          <w:u w:val="single"/>
        </w:rPr>
      </w:pPr>
    </w:p>
    <w:p w14:paraId="372D05F6" w14:textId="77777777" w:rsidR="00F22AC9" w:rsidRDefault="00F22AC9" w:rsidP="00F84D24">
      <w:pPr>
        <w:jc w:val="both"/>
        <w:rPr>
          <w:rFonts w:ascii="Times New Roman" w:hAnsi="Times New Roman" w:cs="Times New Roman"/>
          <w:sz w:val="24"/>
          <w:szCs w:val="24"/>
          <w:u w:val="single"/>
        </w:rPr>
      </w:pPr>
    </w:p>
    <w:p w14:paraId="4981CB9A" w14:textId="67017049" w:rsidR="00796AB6" w:rsidRDefault="00B946FC" w:rsidP="00AF6D4B">
      <w:pPr>
        <w:jc w:val="both"/>
        <w:rPr>
          <w:rFonts w:ascii="Times New Roman" w:hAnsi="Times New Roman" w:cs="Times New Roman"/>
          <w:b/>
          <w:bCs/>
          <w:color w:val="0070C0"/>
          <w:sz w:val="32"/>
          <w:szCs w:val="32"/>
        </w:rPr>
      </w:pPr>
      <w:r w:rsidRPr="00B946FC">
        <w:rPr>
          <w:rFonts w:ascii="Times New Roman" w:hAnsi="Times New Roman" w:cs="Times New Roman"/>
          <w:b/>
          <w:bCs/>
          <w:color w:val="0070C0"/>
          <w:sz w:val="32"/>
          <w:szCs w:val="32"/>
        </w:rPr>
        <w:t xml:space="preserve">Epkoritamabs  </w:t>
      </w:r>
    </w:p>
    <w:p w14:paraId="1AFC1840" w14:textId="27C61AB1" w:rsidR="00B946FC" w:rsidRDefault="00796AB6" w:rsidP="00B946FC">
      <w:pPr>
        <w:jc w:val="both"/>
        <w:rPr>
          <w:rFonts w:ascii="Times New Roman" w:hAnsi="Times New Roman" w:cs="Times New Roman"/>
          <w:b/>
          <w:bCs/>
          <w:color w:val="0070C0"/>
          <w:sz w:val="32"/>
          <w:szCs w:val="32"/>
        </w:rPr>
      </w:pPr>
      <w:r w:rsidRPr="00796AB6">
        <w:rPr>
          <w:rFonts w:ascii="Times New Roman" w:hAnsi="Times New Roman" w:cs="Times New Roman"/>
          <w:b/>
          <w:bCs/>
          <w:sz w:val="32"/>
          <w:szCs w:val="32"/>
        </w:rPr>
        <w:t>Jauna blakne</w:t>
      </w:r>
      <w:r w:rsidR="00B946FC">
        <w:rPr>
          <w:rFonts w:ascii="Times New Roman" w:hAnsi="Times New Roman" w:cs="Times New Roman"/>
          <w:b/>
          <w:bCs/>
          <w:sz w:val="32"/>
          <w:szCs w:val="32"/>
        </w:rPr>
        <w:t xml:space="preserve"> -</w:t>
      </w:r>
      <w:r w:rsidRPr="00796AB6">
        <w:rPr>
          <w:rFonts w:ascii="Times New Roman" w:hAnsi="Times New Roman" w:cs="Times New Roman"/>
          <w:b/>
          <w:bCs/>
          <w:sz w:val="32"/>
          <w:szCs w:val="32"/>
        </w:rPr>
        <w:t xml:space="preserve"> </w:t>
      </w:r>
      <w:r w:rsidR="00B946FC" w:rsidRPr="00B946FC">
        <w:rPr>
          <w:rFonts w:ascii="Times New Roman" w:hAnsi="Times New Roman" w:cs="Times New Roman"/>
          <w:b/>
          <w:bCs/>
          <w:color w:val="0070C0"/>
          <w:sz w:val="32"/>
          <w:szCs w:val="32"/>
        </w:rPr>
        <w:t>hipogammaglobulinēmija</w:t>
      </w:r>
    </w:p>
    <w:p w14:paraId="6CDB1DFE" w14:textId="543B04F9" w:rsidR="000D2133" w:rsidRPr="00796AB6" w:rsidRDefault="000D2133" w:rsidP="00AF6D4B">
      <w:pPr>
        <w:jc w:val="both"/>
        <w:rPr>
          <w:rFonts w:ascii="Times New Roman" w:hAnsi="Times New Roman" w:cs="Times New Roman"/>
          <w:b/>
          <w:bCs/>
          <w:sz w:val="32"/>
          <w:szCs w:val="32"/>
        </w:rPr>
      </w:pPr>
    </w:p>
    <w:p w14:paraId="299B0273" w14:textId="77777777" w:rsidR="001311F7" w:rsidRPr="001311F7" w:rsidRDefault="00133340" w:rsidP="001311F7">
      <w:pPr>
        <w:pStyle w:val="ListParagraph"/>
        <w:numPr>
          <w:ilvl w:val="0"/>
          <w:numId w:val="21"/>
        </w:numPr>
        <w:jc w:val="both"/>
        <w:rPr>
          <w:rFonts w:ascii="Times New Roman" w:hAnsi="Times New Roman" w:cs="Times New Roman"/>
          <w:sz w:val="24"/>
          <w:szCs w:val="24"/>
        </w:rPr>
      </w:pPr>
      <w:bookmarkStart w:id="0" w:name="_Hlk198200414"/>
      <w:r w:rsidRPr="001311F7">
        <w:rPr>
          <w:rFonts w:ascii="Times New Roman" w:hAnsi="Times New Roman" w:cs="Times New Roman"/>
          <w:b/>
          <w:bCs/>
          <w:sz w:val="24"/>
          <w:szCs w:val="24"/>
        </w:rPr>
        <w:t xml:space="preserve">Indikācijas: </w:t>
      </w:r>
    </w:p>
    <w:p w14:paraId="49810EC1" w14:textId="06F96B6E" w:rsidR="001311F7" w:rsidRPr="003A0E4A" w:rsidRDefault="001311F7" w:rsidP="003A0E4A">
      <w:pPr>
        <w:pStyle w:val="ListParagraph"/>
        <w:numPr>
          <w:ilvl w:val="0"/>
          <w:numId w:val="33"/>
        </w:numPr>
        <w:jc w:val="both"/>
        <w:rPr>
          <w:rFonts w:ascii="Times New Roman" w:hAnsi="Times New Roman" w:cs="Times New Roman"/>
          <w:sz w:val="24"/>
          <w:szCs w:val="24"/>
        </w:rPr>
      </w:pPr>
      <w:r w:rsidRPr="003A0E4A">
        <w:rPr>
          <w:rFonts w:ascii="Times New Roman" w:hAnsi="Times New Roman" w:cs="Times New Roman"/>
          <w:sz w:val="24"/>
          <w:szCs w:val="24"/>
        </w:rPr>
        <w:t>Tepkinly monoterapijas veidā ir paredzēts pieaugušiem pacientiem recidivējošas vai refraktāras difūzas lielo B šūnu limfomas (diffuse large B-cell lymphoma - DLBCL) ārstēšanai pēc divām vai vairāk izvēles sistēmiskām terapijām.</w:t>
      </w:r>
    </w:p>
    <w:p w14:paraId="0B17B2B5" w14:textId="75E38B95" w:rsidR="00133340" w:rsidRDefault="001311F7" w:rsidP="003A0E4A">
      <w:pPr>
        <w:pStyle w:val="ListParagraph"/>
        <w:numPr>
          <w:ilvl w:val="0"/>
          <w:numId w:val="33"/>
        </w:numPr>
        <w:jc w:val="both"/>
        <w:rPr>
          <w:rFonts w:ascii="Times New Roman" w:hAnsi="Times New Roman" w:cs="Times New Roman"/>
          <w:sz w:val="24"/>
          <w:szCs w:val="24"/>
        </w:rPr>
      </w:pPr>
      <w:r w:rsidRPr="003A0E4A">
        <w:rPr>
          <w:rFonts w:ascii="Times New Roman" w:hAnsi="Times New Roman" w:cs="Times New Roman"/>
          <w:sz w:val="24"/>
          <w:szCs w:val="24"/>
        </w:rPr>
        <w:t>Tepkinly monoterapijas veidā ir paredzēts pieaugušiem pacientiem recidivējošas vai refraktāras folikulāras limfomas (FL) ārstēšanai pēc divām vai vairāk izvēles sistēmiskām terapijām.</w:t>
      </w:r>
    </w:p>
    <w:p w14:paraId="75B3695A" w14:textId="77777777" w:rsidR="003A0E4A" w:rsidRPr="003A0E4A" w:rsidRDefault="003A0E4A" w:rsidP="003A0E4A">
      <w:pPr>
        <w:pStyle w:val="ListParagraph"/>
        <w:jc w:val="both"/>
        <w:rPr>
          <w:rFonts w:ascii="Times New Roman" w:hAnsi="Times New Roman" w:cs="Times New Roman"/>
          <w:sz w:val="24"/>
          <w:szCs w:val="24"/>
        </w:rPr>
      </w:pPr>
    </w:p>
    <w:p w14:paraId="7CD97643" w14:textId="58626179" w:rsidR="008E2598" w:rsidRPr="007A5AFA" w:rsidRDefault="00C83513" w:rsidP="007B137B">
      <w:pPr>
        <w:pStyle w:val="ListParagraph"/>
        <w:numPr>
          <w:ilvl w:val="0"/>
          <w:numId w:val="22"/>
        </w:num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w:t>
      </w:r>
      <w:r w:rsidR="00133340" w:rsidRPr="007A5AFA">
        <w:rPr>
          <w:rFonts w:ascii="Times New Roman" w:hAnsi="Times New Roman" w:cs="Times New Roman"/>
          <w:b/>
          <w:bCs/>
          <w:color w:val="000000" w:themeColor="text1"/>
          <w:sz w:val="24"/>
          <w:szCs w:val="24"/>
        </w:rPr>
        <w:t>ievienota jauna drošuma informācija</w:t>
      </w:r>
      <w:r w:rsidR="007A5AFA" w:rsidRPr="007A5AFA">
        <w:rPr>
          <w:rFonts w:ascii="Times New Roman" w:hAnsi="Times New Roman" w:cs="Times New Roman"/>
          <w:b/>
          <w:bCs/>
          <w:color w:val="000000" w:themeColor="text1"/>
          <w:sz w:val="24"/>
          <w:szCs w:val="24"/>
        </w:rPr>
        <w:t xml:space="preserve">: </w:t>
      </w:r>
      <w:r w:rsidR="00133340" w:rsidRPr="007A5AFA">
        <w:rPr>
          <w:rFonts w:ascii="Times New Roman" w:hAnsi="Times New Roman" w:cs="Times New Roman"/>
          <w:b/>
          <w:bCs/>
          <w:color w:val="000000" w:themeColor="text1"/>
          <w:sz w:val="24"/>
          <w:szCs w:val="24"/>
        </w:rPr>
        <w:t xml:space="preserve"> </w:t>
      </w:r>
      <w:bookmarkEnd w:id="0"/>
    </w:p>
    <w:p w14:paraId="547DC66F" w14:textId="77777777" w:rsidR="00FA0B02" w:rsidRPr="00FA0B02" w:rsidRDefault="00FA0B02" w:rsidP="00FA0B02">
      <w:pPr>
        <w:autoSpaceDE w:val="0"/>
        <w:autoSpaceDN w:val="0"/>
        <w:adjustRightInd w:val="0"/>
        <w:spacing w:after="0" w:line="240" w:lineRule="auto"/>
        <w:rPr>
          <w:rFonts w:ascii="Verdana" w:hAnsi="Verdana" w:cs="Verdana"/>
          <w:color w:val="000000"/>
          <w:kern w:val="0"/>
          <w:sz w:val="24"/>
          <w:szCs w:val="24"/>
        </w:rPr>
      </w:pPr>
    </w:p>
    <w:p w14:paraId="78326BE2" w14:textId="77777777" w:rsidR="00FA0B02" w:rsidRDefault="00FA0B02" w:rsidP="00FA0B02">
      <w:pPr>
        <w:autoSpaceDE w:val="0"/>
        <w:autoSpaceDN w:val="0"/>
        <w:adjustRightInd w:val="0"/>
        <w:spacing w:after="0" w:line="240" w:lineRule="auto"/>
        <w:rPr>
          <w:rFonts w:ascii="Times New Roman" w:hAnsi="Times New Roman" w:cs="Times New Roman"/>
          <w:b/>
          <w:bCs/>
          <w:color w:val="000000"/>
          <w:kern w:val="0"/>
          <w:sz w:val="24"/>
          <w:szCs w:val="24"/>
        </w:rPr>
      </w:pPr>
      <w:r w:rsidRPr="00FA0B02">
        <w:rPr>
          <w:rFonts w:ascii="Verdana" w:hAnsi="Verdana" w:cs="Verdana"/>
          <w:color w:val="000000"/>
          <w:kern w:val="0"/>
          <w:sz w:val="24"/>
          <w:szCs w:val="24"/>
        </w:rPr>
        <w:t xml:space="preserve"> </w:t>
      </w:r>
      <w:r w:rsidRPr="00FA0B02">
        <w:rPr>
          <w:rFonts w:ascii="Times New Roman" w:hAnsi="Times New Roman" w:cs="Times New Roman"/>
          <w:b/>
          <w:bCs/>
          <w:color w:val="000000"/>
          <w:kern w:val="0"/>
          <w:sz w:val="24"/>
          <w:szCs w:val="24"/>
        </w:rPr>
        <w:t xml:space="preserve">Zāļu apraksts </w:t>
      </w:r>
    </w:p>
    <w:p w14:paraId="62895EFD" w14:textId="77777777" w:rsidR="003145B3" w:rsidRDefault="003145B3" w:rsidP="00FA0B02">
      <w:pPr>
        <w:autoSpaceDE w:val="0"/>
        <w:autoSpaceDN w:val="0"/>
        <w:adjustRightInd w:val="0"/>
        <w:spacing w:after="0" w:line="240" w:lineRule="auto"/>
        <w:rPr>
          <w:rFonts w:ascii="Times New Roman" w:hAnsi="Times New Roman" w:cs="Times New Roman"/>
          <w:b/>
          <w:bCs/>
          <w:color w:val="000000"/>
          <w:kern w:val="0"/>
          <w:sz w:val="24"/>
          <w:szCs w:val="24"/>
        </w:rPr>
      </w:pPr>
    </w:p>
    <w:p w14:paraId="18C3FF03" w14:textId="77777777" w:rsidR="003145B3" w:rsidRPr="003145B3" w:rsidRDefault="003145B3" w:rsidP="003145B3">
      <w:pPr>
        <w:autoSpaceDE w:val="0"/>
        <w:autoSpaceDN w:val="0"/>
        <w:adjustRightInd w:val="0"/>
        <w:spacing w:after="0" w:line="240" w:lineRule="auto"/>
        <w:rPr>
          <w:rFonts w:ascii="Times New Roman" w:hAnsi="Times New Roman" w:cs="Times New Roman"/>
          <w:color w:val="000000"/>
          <w:kern w:val="0"/>
          <w:sz w:val="24"/>
          <w:szCs w:val="24"/>
        </w:rPr>
      </w:pPr>
      <w:r w:rsidRPr="003145B3">
        <w:rPr>
          <w:rFonts w:ascii="Times New Roman" w:hAnsi="Times New Roman" w:cs="Times New Roman"/>
          <w:color w:val="000000"/>
          <w:kern w:val="0"/>
          <w:sz w:val="24"/>
          <w:szCs w:val="24"/>
        </w:rPr>
        <w:lastRenderedPageBreak/>
        <w:t>4.4 Īpaši brīdinājumi un piesardzība lietošanā</w:t>
      </w:r>
    </w:p>
    <w:p w14:paraId="2C2628DA" w14:textId="77777777" w:rsid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rPr>
      </w:pPr>
    </w:p>
    <w:p w14:paraId="321AD375" w14:textId="0D8B180B" w:rsidR="003145B3" w:rsidRPr="003145B3" w:rsidRDefault="003145B3" w:rsidP="003145B3">
      <w:pPr>
        <w:autoSpaceDE w:val="0"/>
        <w:autoSpaceDN w:val="0"/>
        <w:adjustRightInd w:val="0"/>
        <w:spacing w:after="0" w:line="240" w:lineRule="auto"/>
        <w:jc w:val="both"/>
        <w:rPr>
          <w:rFonts w:ascii="Times New Roman" w:hAnsi="Times New Roman" w:cs="Times New Roman"/>
          <w:b/>
          <w:bCs/>
          <w:color w:val="000000"/>
          <w:kern w:val="0"/>
          <w:sz w:val="24"/>
          <w:szCs w:val="24"/>
        </w:rPr>
      </w:pPr>
      <w:r w:rsidRPr="003145B3">
        <w:rPr>
          <w:rFonts w:ascii="Times New Roman" w:hAnsi="Times New Roman" w:cs="Times New Roman"/>
          <w:b/>
          <w:bCs/>
          <w:color w:val="000000"/>
          <w:kern w:val="0"/>
          <w:sz w:val="24"/>
          <w:szCs w:val="24"/>
        </w:rPr>
        <w:t>Nopietnas infekcijas</w:t>
      </w:r>
    </w:p>
    <w:p w14:paraId="7325D5E1" w14:textId="77777777" w:rsid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rPr>
      </w:pPr>
    </w:p>
    <w:p w14:paraId="082A764B" w14:textId="4B0E0014" w:rsidR="003145B3" w:rsidRP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u w:val="single"/>
        </w:rPr>
      </w:pPr>
      <w:r w:rsidRPr="003145B3">
        <w:rPr>
          <w:rFonts w:ascii="Times New Roman" w:hAnsi="Times New Roman" w:cs="Times New Roman"/>
          <w:color w:val="000000"/>
          <w:kern w:val="0"/>
          <w:sz w:val="24"/>
          <w:szCs w:val="24"/>
          <w:u w:val="single"/>
        </w:rPr>
        <w:t>Pacientiem, kuri saņem epkoritamabu, ir ziņots arī par hipogammaglobulinēmiju (skatīt 4.8. apakšpunktu). Imūnglobulīna (Ig) līmenis jākontrolē pirms ārstēšanas un tās laikā. Pacienti jāārstē atbilstoši vietējo iestāžu vadlīnijām, veicot arī piesardzības pasākumus pret infekcijām un antibakteriālo profilaksi.</w:t>
      </w:r>
    </w:p>
    <w:p w14:paraId="6008CE32" w14:textId="084EDA3B" w:rsid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rPr>
      </w:pPr>
    </w:p>
    <w:p w14:paraId="074E88D6" w14:textId="77777777" w:rsidR="003145B3" w:rsidRP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rPr>
      </w:pPr>
    </w:p>
    <w:p w14:paraId="4CDB41C9" w14:textId="77777777" w:rsidR="003145B3" w:rsidRP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rPr>
      </w:pPr>
      <w:r w:rsidRPr="003145B3">
        <w:rPr>
          <w:rFonts w:ascii="Times New Roman" w:hAnsi="Times New Roman" w:cs="Times New Roman"/>
          <w:color w:val="000000"/>
          <w:kern w:val="0"/>
          <w:sz w:val="24"/>
          <w:szCs w:val="24"/>
        </w:rPr>
        <w:t>4.8 Nevēlamās blakusparādības</w:t>
      </w:r>
    </w:p>
    <w:p w14:paraId="510EB357" w14:textId="77777777" w:rsid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rPr>
      </w:pPr>
    </w:p>
    <w:p w14:paraId="0F3E9BCC" w14:textId="6AE43D40" w:rsidR="003145B3" w:rsidRDefault="003145B3" w:rsidP="003145B3">
      <w:pPr>
        <w:autoSpaceDE w:val="0"/>
        <w:autoSpaceDN w:val="0"/>
        <w:adjustRightInd w:val="0"/>
        <w:spacing w:after="0" w:line="240" w:lineRule="auto"/>
        <w:jc w:val="both"/>
        <w:rPr>
          <w:rFonts w:ascii="Times New Roman" w:hAnsi="Times New Roman" w:cs="Times New Roman"/>
          <w:b/>
          <w:bCs/>
          <w:color w:val="000000"/>
          <w:kern w:val="0"/>
          <w:sz w:val="24"/>
          <w:szCs w:val="24"/>
        </w:rPr>
      </w:pPr>
      <w:r w:rsidRPr="003145B3">
        <w:rPr>
          <w:rFonts w:ascii="Times New Roman" w:hAnsi="Times New Roman" w:cs="Times New Roman"/>
          <w:b/>
          <w:bCs/>
          <w:color w:val="000000"/>
          <w:kern w:val="0"/>
          <w:sz w:val="24"/>
          <w:szCs w:val="24"/>
        </w:rPr>
        <w:t>Imūnās sistēmas traucējumi</w:t>
      </w:r>
    </w:p>
    <w:p w14:paraId="56E8E916" w14:textId="77777777" w:rsidR="003145B3" w:rsidRPr="003145B3" w:rsidRDefault="003145B3" w:rsidP="003145B3">
      <w:pPr>
        <w:autoSpaceDE w:val="0"/>
        <w:autoSpaceDN w:val="0"/>
        <w:adjustRightInd w:val="0"/>
        <w:spacing w:after="0" w:line="240" w:lineRule="auto"/>
        <w:jc w:val="both"/>
        <w:rPr>
          <w:rFonts w:ascii="Times New Roman" w:hAnsi="Times New Roman" w:cs="Times New Roman"/>
          <w:b/>
          <w:bCs/>
          <w:color w:val="000000"/>
          <w:kern w:val="0"/>
          <w:sz w:val="24"/>
          <w:szCs w:val="24"/>
        </w:rPr>
      </w:pPr>
    </w:p>
    <w:p w14:paraId="6FEB9F26" w14:textId="77777777" w:rsid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rPr>
      </w:pPr>
      <w:r w:rsidRPr="003145B3">
        <w:rPr>
          <w:rFonts w:ascii="Times New Roman" w:hAnsi="Times New Roman" w:cs="Times New Roman"/>
          <w:color w:val="000000"/>
          <w:kern w:val="0"/>
          <w:sz w:val="24"/>
          <w:szCs w:val="24"/>
        </w:rPr>
        <w:t>Biežums “ļoti bieži” visām pakāpēm un “retāk” 3.–4. pakāpei:</w:t>
      </w:r>
    </w:p>
    <w:p w14:paraId="5D5ADFD3" w14:textId="77777777" w:rsidR="003145B3" w:rsidRP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rPr>
      </w:pPr>
    </w:p>
    <w:p w14:paraId="35D7E1AF" w14:textId="3D455DEE" w:rsidR="00FA0B02" w:rsidRPr="003145B3" w:rsidRDefault="003145B3" w:rsidP="003145B3">
      <w:pPr>
        <w:autoSpaceDE w:val="0"/>
        <w:autoSpaceDN w:val="0"/>
        <w:adjustRightInd w:val="0"/>
        <w:spacing w:after="0" w:line="240" w:lineRule="auto"/>
        <w:jc w:val="both"/>
        <w:rPr>
          <w:rFonts w:ascii="Times New Roman" w:hAnsi="Times New Roman" w:cs="Times New Roman"/>
          <w:color w:val="000000"/>
          <w:kern w:val="0"/>
          <w:sz w:val="24"/>
          <w:szCs w:val="24"/>
          <w:u w:val="single"/>
        </w:rPr>
      </w:pPr>
      <w:r w:rsidRPr="003145B3">
        <w:rPr>
          <w:rFonts w:ascii="Times New Roman" w:hAnsi="Times New Roman" w:cs="Times New Roman"/>
          <w:color w:val="000000"/>
          <w:kern w:val="0"/>
          <w:sz w:val="24"/>
          <w:szCs w:val="24"/>
          <w:u w:val="single"/>
        </w:rPr>
        <w:t>Hipogammaglobulinēmija</w:t>
      </w:r>
    </w:p>
    <w:p w14:paraId="0904BFAF" w14:textId="77777777" w:rsidR="00532522" w:rsidRPr="003145B3" w:rsidRDefault="00532522" w:rsidP="003145B3">
      <w:pPr>
        <w:autoSpaceDE w:val="0"/>
        <w:autoSpaceDN w:val="0"/>
        <w:adjustRightInd w:val="0"/>
        <w:spacing w:after="0" w:line="240" w:lineRule="auto"/>
        <w:jc w:val="both"/>
        <w:rPr>
          <w:rFonts w:ascii="Times New Roman" w:hAnsi="Times New Roman" w:cs="Times New Roman"/>
          <w:color w:val="000000"/>
          <w:kern w:val="0"/>
          <w:sz w:val="24"/>
          <w:szCs w:val="24"/>
          <w:u w:val="single"/>
        </w:rPr>
      </w:pPr>
    </w:p>
    <w:p w14:paraId="29CABA28" w14:textId="77777777" w:rsidR="00532522" w:rsidRDefault="00532522" w:rsidP="003145B3">
      <w:pPr>
        <w:autoSpaceDE w:val="0"/>
        <w:autoSpaceDN w:val="0"/>
        <w:adjustRightInd w:val="0"/>
        <w:spacing w:after="0" w:line="240" w:lineRule="auto"/>
        <w:jc w:val="both"/>
        <w:rPr>
          <w:rFonts w:ascii="Times New Roman" w:hAnsi="Times New Roman" w:cs="Times New Roman"/>
          <w:color w:val="000000"/>
          <w:kern w:val="0"/>
          <w:sz w:val="24"/>
          <w:szCs w:val="24"/>
        </w:rPr>
      </w:pPr>
    </w:p>
    <w:p w14:paraId="74B9D125" w14:textId="77777777" w:rsidR="00AC58DB" w:rsidRPr="005113E8" w:rsidRDefault="00AC58DB" w:rsidP="003145B3">
      <w:pPr>
        <w:autoSpaceDE w:val="0"/>
        <w:autoSpaceDN w:val="0"/>
        <w:adjustRightInd w:val="0"/>
        <w:spacing w:after="0" w:line="240" w:lineRule="auto"/>
        <w:jc w:val="both"/>
        <w:rPr>
          <w:rFonts w:ascii="Times New Roman" w:hAnsi="Times New Roman" w:cs="Times New Roman"/>
          <w:color w:val="000000"/>
          <w:kern w:val="0"/>
          <w:sz w:val="24"/>
          <w:szCs w:val="24"/>
        </w:rPr>
      </w:pPr>
    </w:p>
    <w:p w14:paraId="05D93AA7" w14:textId="77777777" w:rsidR="009316CF" w:rsidRDefault="005113E8" w:rsidP="003145B3">
      <w:pPr>
        <w:autoSpaceDE w:val="0"/>
        <w:autoSpaceDN w:val="0"/>
        <w:adjustRightInd w:val="0"/>
        <w:spacing w:after="0" w:line="240" w:lineRule="auto"/>
        <w:jc w:val="both"/>
        <w:rPr>
          <w:rFonts w:ascii="Times New Roman" w:hAnsi="Times New Roman" w:cs="Times New Roman"/>
          <w:b/>
          <w:bCs/>
          <w:color w:val="000000"/>
          <w:kern w:val="0"/>
          <w:sz w:val="24"/>
          <w:szCs w:val="24"/>
        </w:rPr>
      </w:pPr>
      <w:r w:rsidRPr="005113E8">
        <w:rPr>
          <w:rFonts w:ascii="Times New Roman" w:hAnsi="Times New Roman" w:cs="Times New Roman"/>
          <w:b/>
          <w:bCs/>
          <w:color w:val="000000"/>
          <w:kern w:val="0"/>
          <w:sz w:val="24"/>
          <w:szCs w:val="24"/>
        </w:rPr>
        <w:t>Lietošanas instrukcija</w:t>
      </w:r>
    </w:p>
    <w:p w14:paraId="318A8E79" w14:textId="77777777" w:rsidR="009316CF" w:rsidRDefault="009316CF" w:rsidP="003145B3">
      <w:pPr>
        <w:autoSpaceDE w:val="0"/>
        <w:autoSpaceDN w:val="0"/>
        <w:adjustRightInd w:val="0"/>
        <w:spacing w:after="0" w:line="240" w:lineRule="auto"/>
        <w:jc w:val="both"/>
        <w:rPr>
          <w:rFonts w:ascii="Times New Roman" w:hAnsi="Times New Roman" w:cs="Times New Roman"/>
          <w:b/>
          <w:bCs/>
          <w:color w:val="000000"/>
          <w:kern w:val="0"/>
          <w:sz w:val="24"/>
          <w:szCs w:val="24"/>
        </w:rPr>
      </w:pPr>
    </w:p>
    <w:p w14:paraId="58818965" w14:textId="77777777" w:rsidR="009316CF" w:rsidRDefault="005113E8" w:rsidP="009316CF">
      <w:pPr>
        <w:autoSpaceDE w:val="0"/>
        <w:autoSpaceDN w:val="0"/>
        <w:adjustRightInd w:val="0"/>
        <w:spacing w:after="0" w:line="240" w:lineRule="auto"/>
        <w:jc w:val="both"/>
        <w:rPr>
          <w:rFonts w:ascii="Times New Roman" w:hAnsi="Times New Roman" w:cs="Times New Roman"/>
          <w:color w:val="000000"/>
          <w:kern w:val="0"/>
          <w:sz w:val="24"/>
          <w:szCs w:val="24"/>
        </w:rPr>
      </w:pPr>
      <w:r w:rsidRPr="005113E8">
        <w:rPr>
          <w:rFonts w:ascii="Times New Roman" w:hAnsi="Times New Roman" w:cs="Times New Roman"/>
          <w:b/>
          <w:bCs/>
          <w:color w:val="000000"/>
          <w:kern w:val="0"/>
          <w:sz w:val="24"/>
          <w:szCs w:val="24"/>
        </w:rPr>
        <w:t xml:space="preserve"> </w:t>
      </w:r>
      <w:r w:rsidR="009316CF" w:rsidRPr="009316CF">
        <w:rPr>
          <w:rFonts w:ascii="Times New Roman" w:hAnsi="Times New Roman" w:cs="Times New Roman"/>
          <w:color w:val="000000"/>
          <w:kern w:val="0"/>
          <w:sz w:val="24"/>
          <w:szCs w:val="24"/>
        </w:rPr>
        <w:t>2. Kas Jums jāzina pirms Tepkinly lietošanas</w:t>
      </w:r>
    </w:p>
    <w:p w14:paraId="2F26299D" w14:textId="77777777"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p>
    <w:p w14:paraId="7C80C712" w14:textId="77777777" w:rsidR="009316CF" w:rsidRPr="009316CF" w:rsidRDefault="009316CF" w:rsidP="009316CF">
      <w:pPr>
        <w:autoSpaceDE w:val="0"/>
        <w:autoSpaceDN w:val="0"/>
        <w:adjustRightInd w:val="0"/>
        <w:spacing w:after="0" w:line="240" w:lineRule="auto"/>
        <w:jc w:val="both"/>
        <w:rPr>
          <w:rFonts w:ascii="Times New Roman" w:hAnsi="Times New Roman" w:cs="Times New Roman"/>
          <w:b/>
          <w:bCs/>
          <w:color w:val="000000"/>
          <w:kern w:val="0"/>
          <w:sz w:val="24"/>
          <w:szCs w:val="24"/>
        </w:rPr>
      </w:pPr>
      <w:r w:rsidRPr="009316CF">
        <w:rPr>
          <w:rFonts w:ascii="Times New Roman" w:hAnsi="Times New Roman" w:cs="Times New Roman"/>
          <w:b/>
          <w:bCs/>
          <w:color w:val="000000"/>
          <w:kern w:val="0"/>
          <w:sz w:val="24"/>
          <w:szCs w:val="24"/>
        </w:rPr>
        <w:t>Brīdinājumi un piesardzība lietošanā</w:t>
      </w:r>
    </w:p>
    <w:p w14:paraId="73620681" w14:textId="645AE365"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p>
    <w:p w14:paraId="330A7256" w14:textId="28323C8A" w:rsidR="009316CF" w:rsidRPr="00C9444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u w:val="single"/>
        </w:rPr>
      </w:pPr>
      <w:r w:rsidRPr="00C9444F">
        <w:rPr>
          <w:rFonts w:ascii="Times New Roman" w:hAnsi="Times New Roman" w:cs="Times New Roman"/>
          <w:color w:val="000000"/>
          <w:kern w:val="0"/>
          <w:sz w:val="24"/>
          <w:szCs w:val="24"/>
          <w:u w:val="single"/>
        </w:rPr>
        <w:t>Ārsts vai medmāsa pirms ārstēšanas ar epkoritamabu un tās laikā veiks asins analīzes, lai pārbaudītu Jūsu antivielu līmeni, kas var liecināt par infekcijas risku un nepieciešamību pēc specifiskas ārstēšanas.</w:t>
      </w:r>
    </w:p>
    <w:p w14:paraId="58A8FA54" w14:textId="77777777"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p>
    <w:p w14:paraId="32D127E8" w14:textId="77777777" w:rsid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r w:rsidRPr="009316CF">
        <w:rPr>
          <w:rFonts w:ascii="Times New Roman" w:hAnsi="Times New Roman" w:cs="Times New Roman"/>
          <w:color w:val="000000"/>
          <w:kern w:val="0"/>
          <w:sz w:val="24"/>
          <w:szCs w:val="24"/>
        </w:rPr>
        <w:t>4. Iespējamās blakusparādības</w:t>
      </w:r>
    </w:p>
    <w:p w14:paraId="2003C066" w14:textId="77777777"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p>
    <w:p w14:paraId="1CF4C0E1" w14:textId="77777777"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r w:rsidRPr="009316CF">
        <w:rPr>
          <w:rFonts w:ascii="Times New Roman" w:hAnsi="Times New Roman" w:cs="Times New Roman"/>
          <w:color w:val="000000"/>
          <w:kern w:val="0"/>
          <w:sz w:val="24"/>
          <w:szCs w:val="24"/>
        </w:rPr>
        <w:t>Citas blakusparādības</w:t>
      </w:r>
    </w:p>
    <w:p w14:paraId="74984A28" w14:textId="090B27E9"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p>
    <w:p w14:paraId="1161D93E" w14:textId="77777777" w:rsidR="009316CF" w:rsidRPr="00E017DB" w:rsidRDefault="009316CF" w:rsidP="009316CF">
      <w:pPr>
        <w:autoSpaceDE w:val="0"/>
        <w:autoSpaceDN w:val="0"/>
        <w:adjustRightInd w:val="0"/>
        <w:spacing w:after="0" w:line="240" w:lineRule="auto"/>
        <w:jc w:val="both"/>
        <w:rPr>
          <w:rFonts w:ascii="Times New Roman" w:hAnsi="Times New Roman" w:cs="Times New Roman"/>
          <w:b/>
          <w:bCs/>
          <w:color w:val="000000"/>
          <w:kern w:val="0"/>
          <w:sz w:val="24"/>
          <w:szCs w:val="24"/>
        </w:rPr>
      </w:pPr>
      <w:r w:rsidRPr="00E017DB">
        <w:rPr>
          <w:rFonts w:ascii="Times New Roman" w:hAnsi="Times New Roman" w:cs="Times New Roman"/>
          <w:b/>
          <w:bCs/>
          <w:color w:val="000000"/>
          <w:kern w:val="0"/>
          <w:sz w:val="24"/>
          <w:szCs w:val="24"/>
        </w:rPr>
        <w:t>Ļoti bieži: var rasties vairāk nekā 1 no 10 cilvēkiem</w:t>
      </w:r>
    </w:p>
    <w:p w14:paraId="71D7EAF9" w14:textId="5139110F"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p>
    <w:p w14:paraId="035E4F4B" w14:textId="77777777"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r w:rsidRPr="009316CF">
        <w:rPr>
          <w:rFonts w:ascii="Times New Roman" w:hAnsi="Times New Roman" w:cs="Times New Roman"/>
          <w:color w:val="000000"/>
          <w:kern w:val="0"/>
          <w:sz w:val="24"/>
          <w:szCs w:val="24"/>
        </w:rPr>
        <w:t>Konstatēts asins analīzēs</w:t>
      </w:r>
    </w:p>
    <w:p w14:paraId="54149509" w14:textId="3ADD430A" w:rsidR="009316CF"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rPr>
      </w:pPr>
    </w:p>
    <w:p w14:paraId="6491405D" w14:textId="34A65B3A" w:rsidR="005113E8" w:rsidRPr="009316CF" w:rsidRDefault="009316CF" w:rsidP="009316CF">
      <w:pPr>
        <w:autoSpaceDE w:val="0"/>
        <w:autoSpaceDN w:val="0"/>
        <w:adjustRightInd w:val="0"/>
        <w:spacing w:after="0" w:line="240" w:lineRule="auto"/>
        <w:jc w:val="both"/>
        <w:rPr>
          <w:rFonts w:ascii="Times New Roman" w:hAnsi="Times New Roman" w:cs="Times New Roman"/>
          <w:color w:val="000000"/>
          <w:kern w:val="0"/>
          <w:sz w:val="24"/>
          <w:szCs w:val="24"/>
          <w:u w:val="single"/>
        </w:rPr>
      </w:pPr>
      <w:r w:rsidRPr="009316CF">
        <w:rPr>
          <w:rFonts w:ascii="Times New Roman" w:hAnsi="Times New Roman" w:cs="Times New Roman"/>
          <w:color w:val="000000"/>
          <w:kern w:val="0"/>
          <w:sz w:val="24"/>
          <w:szCs w:val="24"/>
        </w:rPr>
        <w:t xml:space="preserve">• </w:t>
      </w:r>
      <w:r w:rsidRPr="009316CF">
        <w:rPr>
          <w:rFonts w:ascii="Times New Roman" w:hAnsi="Times New Roman" w:cs="Times New Roman"/>
          <w:color w:val="000000"/>
          <w:kern w:val="0"/>
          <w:sz w:val="24"/>
          <w:szCs w:val="24"/>
          <w:u w:val="single"/>
        </w:rPr>
        <w:t>zems imūnglobulīnu līmenis, kas var izraisīt infekcijas</w:t>
      </w:r>
    </w:p>
    <w:p w14:paraId="3BD46328" w14:textId="77777777" w:rsidR="00532522" w:rsidRPr="009316CF" w:rsidRDefault="00532522" w:rsidP="003145B3">
      <w:pPr>
        <w:autoSpaceDE w:val="0"/>
        <w:autoSpaceDN w:val="0"/>
        <w:adjustRightInd w:val="0"/>
        <w:spacing w:after="0" w:line="240" w:lineRule="auto"/>
        <w:jc w:val="both"/>
        <w:rPr>
          <w:rFonts w:ascii="Times New Roman" w:hAnsi="Times New Roman" w:cs="Times New Roman"/>
          <w:color w:val="000000"/>
          <w:kern w:val="0"/>
          <w:sz w:val="24"/>
          <w:szCs w:val="24"/>
          <w:u w:val="single"/>
        </w:rPr>
      </w:pPr>
    </w:p>
    <w:p w14:paraId="41620B43" w14:textId="77777777" w:rsidR="007A5AFA" w:rsidRPr="009316CF" w:rsidRDefault="007A5AFA" w:rsidP="003145B3">
      <w:pPr>
        <w:jc w:val="both"/>
        <w:rPr>
          <w:rFonts w:ascii="Times New Roman" w:hAnsi="Times New Roman" w:cs="Times New Roman"/>
          <w:color w:val="007BB8"/>
          <w:sz w:val="32"/>
          <w:szCs w:val="32"/>
        </w:rPr>
      </w:pPr>
    </w:p>
    <w:p w14:paraId="58F7F38B" w14:textId="77777777" w:rsidR="00532522" w:rsidRDefault="00532522" w:rsidP="007417EF">
      <w:pPr>
        <w:jc w:val="both"/>
        <w:rPr>
          <w:rFonts w:ascii="Times New Roman" w:hAnsi="Times New Roman" w:cs="Times New Roman"/>
          <w:b/>
          <w:bCs/>
          <w:color w:val="007BB8"/>
          <w:sz w:val="32"/>
          <w:szCs w:val="32"/>
        </w:rPr>
      </w:pPr>
    </w:p>
    <w:p w14:paraId="3049875C" w14:textId="77777777" w:rsidR="00532522" w:rsidRDefault="00532522" w:rsidP="007417EF">
      <w:pPr>
        <w:jc w:val="both"/>
        <w:rPr>
          <w:rFonts w:ascii="Times New Roman" w:hAnsi="Times New Roman" w:cs="Times New Roman"/>
          <w:b/>
          <w:bCs/>
          <w:color w:val="007BB8"/>
          <w:sz w:val="32"/>
          <w:szCs w:val="32"/>
        </w:rPr>
      </w:pPr>
    </w:p>
    <w:p w14:paraId="4F6DFF46" w14:textId="77777777" w:rsidR="00532522" w:rsidRDefault="00532522" w:rsidP="007417EF">
      <w:pPr>
        <w:jc w:val="both"/>
        <w:rPr>
          <w:rFonts w:ascii="Times New Roman" w:hAnsi="Times New Roman" w:cs="Times New Roman"/>
          <w:b/>
          <w:bCs/>
          <w:color w:val="007BB8"/>
          <w:sz w:val="32"/>
          <w:szCs w:val="32"/>
        </w:rPr>
      </w:pPr>
    </w:p>
    <w:p w14:paraId="3606CE81" w14:textId="77777777" w:rsidR="007D611E" w:rsidRDefault="007D611E" w:rsidP="007D611E">
      <w:pPr>
        <w:rPr>
          <w:rFonts w:ascii="Times New Roman" w:hAnsi="Times New Roman" w:cs="Times New Roman"/>
          <w:b/>
          <w:bCs/>
          <w:sz w:val="24"/>
          <w:szCs w:val="24"/>
        </w:rPr>
      </w:pPr>
    </w:p>
    <w:sectPr w:rsidR="007D611E">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3248E" w14:textId="77777777" w:rsidR="00CA3DFD" w:rsidRDefault="00CA3DFD" w:rsidP="007D7FDC">
      <w:pPr>
        <w:spacing w:after="0" w:line="240" w:lineRule="auto"/>
      </w:pPr>
      <w:r>
        <w:separator/>
      </w:r>
    </w:p>
  </w:endnote>
  <w:endnote w:type="continuationSeparator" w:id="0">
    <w:p w14:paraId="3A03E7A4" w14:textId="77777777" w:rsidR="00CA3DFD" w:rsidRDefault="00CA3DFD" w:rsidP="007D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697131"/>
      <w:docPartObj>
        <w:docPartGallery w:val="Page Numbers (Bottom of Page)"/>
        <w:docPartUnique/>
      </w:docPartObj>
    </w:sdtPr>
    <w:sdtEndPr>
      <w:rPr>
        <w:noProof/>
      </w:rPr>
    </w:sdtEndPr>
    <w:sdtContent>
      <w:p w14:paraId="46FCE314" w14:textId="31F35020" w:rsidR="00BD7561" w:rsidRDefault="00BD75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0F1611" w14:textId="77777777" w:rsidR="007D7FDC" w:rsidRDefault="007D7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C00D" w14:textId="77777777" w:rsidR="00CA3DFD" w:rsidRDefault="00CA3DFD" w:rsidP="007D7FDC">
      <w:pPr>
        <w:spacing w:after="0" w:line="240" w:lineRule="auto"/>
      </w:pPr>
      <w:r>
        <w:separator/>
      </w:r>
    </w:p>
  </w:footnote>
  <w:footnote w:type="continuationSeparator" w:id="0">
    <w:p w14:paraId="3E4FFB85" w14:textId="77777777" w:rsidR="00CA3DFD" w:rsidRDefault="00CA3DFD" w:rsidP="007D7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07EB"/>
    <w:multiLevelType w:val="hybridMultilevel"/>
    <w:tmpl w:val="D6262A6E"/>
    <w:lvl w:ilvl="0" w:tplc="5CD6E4F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593F99"/>
    <w:multiLevelType w:val="hybridMultilevel"/>
    <w:tmpl w:val="B4E65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A46F4C"/>
    <w:multiLevelType w:val="hybridMultilevel"/>
    <w:tmpl w:val="1EA87CD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2B2963"/>
    <w:multiLevelType w:val="hybridMultilevel"/>
    <w:tmpl w:val="5770ED26"/>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790BE4"/>
    <w:multiLevelType w:val="hybridMultilevel"/>
    <w:tmpl w:val="A76679C2"/>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1A7F0E"/>
    <w:multiLevelType w:val="hybridMultilevel"/>
    <w:tmpl w:val="03AA06A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0E0819"/>
    <w:multiLevelType w:val="hybridMultilevel"/>
    <w:tmpl w:val="87401690"/>
    <w:lvl w:ilvl="0" w:tplc="5CD6E4F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CA4089A"/>
    <w:multiLevelType w:val="hybridMultilevel"/>
    <w:tmpl w:val="5CF8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065276"/>
    <w:multiLevelType w:val="hybridMultilevel"/>
    <w:tmpl w:val="7A7680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2D163C2"/>
    <w:multiLevelType w:val="hybridMultilevel"/>
    <w:tmpl w:val="8F40355C"/>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6942EC"/>
    <w:multiLevelType w:val="hybridMultilevel"/>
    <w:tmpl w:val="2B2827E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8365361"/>
    <w:multiLevelType w:val="hybridMultilevel"/>
    <w:tmpl w:val="CEB691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9DE5BB0"/>
    <w:multiLevelType w:val="hybridMultilevel"/>
    <w:tmpl w:val="20BE69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901868"/>
    <w:multiLevelType w:val="hybridMultilevel"/>
    <w:tmpl w:val="92FEBF7E"/>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7F3310B"/>
    <w:multiLevelType w:val="hybridMultilevel"/>
    <w:tmpl w:val="E1C871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635EA4"/>
    <w:multiLevelType w:val="hybridMultilevel"/>
    <w:tmpl w:val="47F296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CC52154"/>
    <w:multiLevelType w:val="hybridMultilevel"/>
    <w:tmpl w:val="918E62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0385791"/>
    <w:multiLevelType w:val="hybridMultilevel"/>
    <w:tmpl w:val="5836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601FE8"/>
    <w:multiLevelType w:val="hybridMultilevel"/>
    <w:tmpl w:val="799CF414"/>
    <w:lvl w:ilvl="0" w:tplc="5CD6E4F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4930257"/>
    <w:multiLevelType w:val="hybridMultilevel"/>
    <w:tmpl w:val="041023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4C15B69"/>
    <w:multiLevelType w:val="hybridMultilevel"/>
    <w:tmpl w:val="1CEA8CD0"/>
    <w:lvl w:ilvl="0" w:tplc="5CD6E4F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FCC126F"/>
    <w:multiLevelType w:val="hybridMultilevel"/>
    <w:tmpl w:val="CF1CDCE2"/>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1C70C04"/>
    <w:multiLevelType w:val="hybridMultilevel"/>
    <w:tmpl w:val="6674E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E9D74DD"/>
    <w:multiLevelType w:val="hybridMultilevel"/>
    <w:tmpl w:val="D71E2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F147DB"/>
    <w:multiLevelType w:val="hybridMultilevel"/>
    <w:tmpl w:val="EFF66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4CC2693"/>
    <w:multiLevelType w:val="hybridMultilevel"/>
    <w:tmpl w:val="F604A6A2"/>
    <w:lvl w:ilvl="0" w:tplc="5CD6E4F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9786806"/>
    <w:multiLevelType w:val="hybridMultilevel"/>
    <w:tmpl w:val="D34A40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15:restartNumberingAfterBreak="0">
    <w:nsid w:val="6A76718D"/>
    <w:multiLevelType w:val="hybridMultilevel"/>
    <w:tmpl w:val="E41A35B0"/>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352BA5"/>
    <w:multiLevelType w:val="hybridMultilevel"/>
    <w:tmpl w:val="7C50B0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AE4F1A"/>
    <w:multiLevelType w:val="hybridMultilevel"/>
    <w:tmpl w:val="C8E445EA"/>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EAE5DF3"/>
    <w:multiLevelType w:val="hybridMultilevel"/>
    <w:tmpl w:val="91B2F920"/>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ACF1D7F"/>
    <w:multiLevelType w:val="hybridMultilevel"/>
    <w:tmpl w:val="CE2C2886"/>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ED754C0"/>
    <w:multiLevelType w:val="hybridMultilevel"/>
    <w:tmpl w:val="1094626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21105583">
    <w:abstractNumId w:val="6"/>
  </w:num>
  <w:num w:numId="2" w16cid:durableId="1481725275">
    <w:abstractNumId w:val="17"/>
  </w:num>
  <w:num w:numId="3" w16cid:durableId="135685842">
    <w:abstractNumId w:val="19"/>
  </w:num>
  <w:num w:numId="4" w16cid:durableId="740831366">
    <w:abstractNumId w:val="15"/>
  </w:num>
  <w:num w:numId="5" w16cid:durableId="1871257388">
    <w:abstractNumId w:val="2"/>
  </w:num>
  <w:num w:numId="6" w16cid:durableId="2142308553">
    <w:abstractNumId w:val="20"/>
  </w:num>
  <w:num w:numId="7" w16cid:durableId="541015854">
    <w:abstractNumId w:val="4"/>
  </w:num>
  <w:num w:numId="8" w16cid:durableId="104690365">
    <w:abstractNumId w:val="8"/>
  </w:num>
  <w:num w:numId="9" w16cid:durableId="568226735">
    <w:abstractNumId w:val="22"/>
  </w:num>
  <w:num w:numId="10" w16cid:durableId="716128747">
    <w:abstractNumId w:val="1"/>
  </w:num>
  <w:num w:numId="11" w16cid:durableId="1376152230">
    <w:abstractNumId w:val="16"/>
  </w:num>
  <w:num w:numId="12" w16cid:durableId="843596217">
    <w:abstractNumId w:val="10"/>
  </w:num>
  <w:num w:numId="13" w16cid:durableId="1968120851">
    <w:abstractNumId w:val="11"/>
  </w:num>
  <w:num w:numId="14" w16cid:durableId="1676223153">
    <w:abstractNumId w:val="7"/>
  </w:num>
  <w:num w:numId="15" w16cid:durableId="1615013869">
    <w:abstractNumId w:val="23"/>
  </w:num>
  <w:num w:numId="16" w16cid:durableId="1238052558">
    <w:abstractNumId w:val="28"/>
  </w:num>
  <w:num w:numId="17" w16cid:durableId="1902669672">
    <w:abstractNumId w:val="3"/>
  </w:num>
  <w:num w:numId="18" w16cid:durableId="1195382577">
    <w:abstractNumId w:val="24"/>
  </w:num>
  <w:num w:numId="19" w16cid:durableId="1573738205">
    <w:abstractNumId w:val="12"/>
  </w:num>
  <w:num w:numId="20" w16cid:durableId="478691058">
    <w:abstractNumId w:val="5"/>
  </w:num>
  <w:num w:numId="21" w16cid:durableId="1863320492">
    <w:abstractNumId w:val="32"/>
  </w:num>
  <w:num w:numId="22" w16cid:durableId="2039548140">
    <w:abstractNumId w:val="0"/>
  </w:num>
  <w:num w:numId="23" w16cid:durableId="33385874">
    <w:abstractNumId w:val="18"/>
  </w:num>
  <w:num w:numId="24" w16cid:durableId="1069307158">
    <w:abstractNumId w:val="31"/>
  </w:num>
  <w:num w:numId="25" w16cid:durableId="1902517674">
    <w:abstractNumId w:val="30"/>
  </w:num>
  <w:num w:numId="26" w16cid:durableId="1912231996">
    <w:abstractNumId w:val="13"/>
  </w:num>
  <w:num w:numId="27" w16cid:durableId="678851059">
    <w:abstractNumId w:val="21"/>
  </w:num>
  <w:num w:numId="28" w16cid:durableId="1603684377">
    <w:abstractNumId w:val="9"/>
  </w:num>
  <w:num w:numId="29" w16cid:durableId="1885025676">
    <w:abstractNumId w:val="27"/>
  </w:num>
  <w:num w:numId="30" w16cid:durableId="265306579">
    <w:abstractNumId w:val="29"/>
  </w:num>
  <w:num w:numId="31" w16cid:durableId="377827403">
    <w:abstractNumId w:val="25"/>
  </w:num>
  <w:num w:numId="32" w16cid:durableId="270600091">
    <w:abstractNumId w:val="26"/>
  </w:num>
  <w:num w:numId="33" w16cid:durableId="1212694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48"/>
    <w:rsid w:val="000006FF"/>
    <w:rsid w:val="00000AEB"/>
    <w:rsid w:val="00002FBC"/>
    <w:rsid w:val="00005BF3"/>
    <w:rsid w:val="0001705B"/>
    <w:rsid w:val="0002096F"/>
    <w:rsid w:val="0002297D"/>
    <w:rsid w:val="00023775"/>
    <w:rsid w:val="00023D85"/>
    <w:rsid w:val="00036F54"/>
    <w:rsid w:val="00041092"/>
    <w:rsid w:val="000416C1"/>
    <w:rsid w:val="00045509"/>
    <w:rsid w:val="00071063"/>
    <w:rsid w:val="000828BF"/>
    <w:rsid w:val="00083015"/>
    <w:rsid w:val="00087CD3"/>
    <w:rsid w:val="00094B6D"/>
    <w:rsid w:val="000A297B"/>
    <w:rsid w:val="000A6234"/>
    <w:rsid w:val="000A691F"/>
    <w:rsid w:val="000B2A48"/>
    <w:rsid w:val="000C40BF"/>
    <w:rsid w:val="000C51D5"/>
    <w:rsid w:val="000D0CF3"/>
    <w:rsid w:val="000D1348"/>
    <w:rsid w:val="000D2133"/>
    <w:rsid w:val="000D255C"/>
    <w:rsid w:val="000E6EBB"/>
    <w:rsid w:val="0010075C"/>
    <w:rsid w:val="0010470C"/>
    <w:rsid w:val="00112B00"/>
    <w:rsid w:val="00112F6D"/>
    <w:rsid w:val="00113F7B"/>
    <w:rsid w:val="00120FCD"/>
    <w:rsid w:val="0012318F"/>
    <w:rsid w:val="001311F7"/>
    <w:rsid w:val="00133340"/>
    <w:rsid w:val="00134C1C"/>
    <w:rsid w:val="00137A18"/>
    <w:rsid w:val="0014150D"/>
    <w:rsid w:val="00141E41"/>
    <w:rsid w:val="001506CD"/>
    <w:rsid w:val="001644CB"/>
    <w:rsid w:val="001662EB"/>
    <w:rsid w:val="00174A82"/>
    <w:rsid w:val="00175FD1"/>
    <w:rsid w:val="001766DE"/>
    <w:rsid w:val="001801EF"/>
    <w:rsid w:val="00186AD5"/>
    <w:rsid w:val="00187664"/>
    <w:rsid w:val="001966FC"/>
    <w:rsid w:val="001A0374"/>
    <w:rsid w:val="001A4654"/>
    <w:rsid w:val="001B44D4"/>
    <w:rsid w:val="001B509E"/>
    <w:rsid w:val="001B5FC6"/>
    <w:rsid w:val="001B6897"/>
    <w:rsid w:val="001C0345"/>
    <w:rsid w:val="001D697A"/>
    <w:rsid w:val="001D7AF6"/>
    <w:rsid w:val="0020580F"/>
    <w:rsid w:val="00211ACD"/>
    <w:rsid w:val="0022206D"/>
    <w:rsid w:val="00227C4D"/>
    <w:rsid w:val="00230CC0"/>
    <w:rsid w:val="00236EBD"/>
    <w:rsid w:val="00243B9C"/>
    <w:rsid w:val="00247A60"/>
    <w:rsid w:val="00256D25"/>
    <w:rsid w:val="00287986"/>
    <w:rsid w:val="00290AE5"/>
    <w:rsid w:val="002A0C4D"/>
    <w:rsid w:val="002A4105"/>
    <w:rsid w:val="002A6460"/>
    <w:rsid w:val="002B1BDD"/>
    <w:rsid w:val="002B6FB6"/>
    <w:rsid w:val="002C021F"/>
    <w:rsid w:val="002C6D08"/>
    <w:rsid w:val="002D0D0A"/>
    <w:rsid w:val="002D3F44"/>
    <w:rsid w:val="002F4265"/>
    <w:rsid w:val="002F72EF"/>
    <w:rsid w:val="003022B3"/>
    <w:rsid w:val="003054DB"/>
    <w:rsid w:val="003145B3"/>
    <w:rsid w:val="00320E05"/>
    <w:rsid w:val="00323E69"/>
    <w:rsid w:val="003252AB"/>
    <w:rsid w:val="00330479"/>
    <w:rsid w:val="00332C40"/>
    <w:rsid w:val="00332EDB"/>
    <w:rsid w:val="00335C11"/>
    <w:rsid w:val="00335E6E"/>
    <w:rsid w:val="003576F4"/>
    <w:rsid w:val="00361E57"/>
    <w:rsid w:val="00386126"/>
    <w:rsid w:val="00390B47"/>
    <w:rsid w:val="003A0E4A"/>
    <w:rsid w:val="003A41B9"/>
    <w:rsid w:val="003B0817"/>
    <w:rsid w:val="003B6737"/>
    <w:rsid w:val="003D4DEE"/>
    <w:rsid w:val="003F1294"/>
    <w:rsid w:val="003F1C61"/>
    <w:rsid w:val="003F47AF"/>
    <w:rsid w:val="00420F71"/>
    <w:rsid w:val="004261D3"/>
    <w:rsid w:val="00434E73"/>
    <w:rsid w:val="0044390A"/>
    <w:rsid w:val="004451E9"/>
    <w:rsid w:val="004563EA"/>
    <w:rsid w:val="00472803"/>
    <w:rsid w:val="00481AF1"/>
    <w:rsid w:val="00491FC8"/>
    <w:rsid w:val="00495183"/>
    <w:rsid w:val="004A0EED"/>
    <w:rsid w:val="004A7507"/>
    <w:rsid w:val="004C3BA6"/>
    <w:rsid w:val="004D0C23"/>
    <w:rsid w:val="004F7A76"/>
    <w:rsid w:val="00504607"/>
    <w:rsid w:val="00504F7E"/>
    <w:rsid w:val="005113E8"/>
    <w:rsid w:val="00511F8F"/>
    <w:rsid w:val="005159FA"/>
    <w:rsid w:val="00515FE7"/>
    <w:rsid w:val="00522968"/>
    <w:rsid w:val="00523201"/>
    <w:rsid w:val="0053001E"/>
    <w:rsid w:val="00532522"/>
    <w:rsid w:val="00543FAB"/>
    <w:rsid w:val="00550DAC"/>
    <w:rsid w:val="005608BC"/>
    <w:rsid w:val="00567247"/>
    <w:rsid w:val="0056753A"/>
    <w:rsid w:val="00570435"/>
    <w:rsid w:val="00573C17"/>
    <w:rsid w:val="005812EC"/>
    <w:rsid w:val="0058286E"/>
    <w:rsid w:val="00585A09"/>
    <w:rsid w:val="005938C6"/>
    <w:rsid w:val="00595164"/>
    <w:rsid w:val="0059656B"/>
    <w:rsid w:val="00596E5B"/>
    <w:rsid w:val="005B3348"/>
    <w:rsid w:val="005B4E3C"/>
    <w:rsid w:val="005B59FA"/>
    <w:rsid w:val="005C1299"/>
    <w:rsid w:val="005C2909"/>
    <w:rsid w:val="005D2BF5"/>
    <w:rsid w:val="005D3686"/>
    <w:rsid w:val="005F2333"/>
    <w:rsid w:val="005F6202"/>
    <w:rsid w:val="006015E7"/>
    <w:rsid w:val="0060192A"/>
    <w:rsid w:val="0060416C"/>
    <w:rsid w:val="00604798"/>
    <w:rsid w:val="00613748"/>
    <w:rsid w:val="00617103"/>
    <w:rsid w:val="00624380"/>
    <w:rsid w:val="006253B2"/>
    <w:rsid w:val="00625EB9"/>
    <w:rsid w:val="006412F8"/>
    <w:rsid w:val="00641653"/>
    <w:rsid w:val="0064666F"/>
    <w:rsid w:val="00646E40"/>
    <w:rsid w:val="00651C82"/>
    <w:rsid w:val="006573A8"/>
    <w:rsid w:val="0069335A"/>
    <w:rsid w:val="006B1FAE"/>
    <w:rsid w:val="006B6650"/>
    <w:rsid w:val="006D5732"/>
    <w:rsid w:val="006E3180"/>
    <w:rsid w:val="006E6313"/>
    <w:rsid w:val="007035C9"/>
    <w:rsid w:val="00710BBC"/>
    <w:rsid w:val="0071175B"/>
    <w:rsid w:val="00714145"/>
    <w:rsid w:val="00720189"/>
    <w:rsid w:val="00721348"/>
    <w:rsid w:val="00734699"/>
    <w:rsid w:val="00734A4E"/>
    <w:rsid w:val="00735FE4"/>
    <w:rsid w:val="00740D7F"/>
    <w:rsid w:val="007417EF"/>
    <w:rsid w:val="0074629A"/>
    <w:rsid w:val="00750D16"/>
    <w:rsid w:val="007633E6"/>
    <w:rsid w:val="00770CB1"/>
    <w:rsid w:val="00772A87"/>
    <w:rsid w:val="00780E8B"/>
    <w:rsid w:val="0078670D"/>
    <w:rsid w:val="00787D26"/>
    <w:rsid w:val="007932BA"/>
    <w:rsid w:val="00796AB6"/>
    <w:rsid w:val="007A5AFA"/>
    <w:rsid w:val="007B137B"/>
    <w:rsid w:val="007B1731"/>
    <w:rsid w:val="007C3FCD"/>
    <w:rsid w:val="007C69F8"/>
    <w:rsid w:val="007D2978"/>
    <w:rsid w:val="007D611E"/>
    <w:rsid w:val="007D7FDC"/>
    <w:rsid w:val="007F0DA5"/>
    <w:rsid w:val="00804B1D"/>
    <w:rsid w:val="00823FE8"/>
    <w:rsid w:val="0082484B"/>
    <w:rsid w:val="00824AB9"/>
    <w:rsid w:val="00832F30"/>
    <w:rsid w:val="00844CA9"/>
    <w:rsid w:val="0085488B"/>
    <w:rsid w:val="008558BC"/>
    <w:rsid w:val="00864A88"/>
    <w:rsid w:val="00874AC5"/>
    <w:rsid w:val="008A760D"/>
    <w:rsid w:val="008B5A0B"/>
    <w:rsid w:val="008B6D02"/>
    <w:rsid w:val="008C1AAB"/>
    <w:rsid w:val="008C652D"/>
    <w:rsid w:val="008E1803"/>
    <w:rsid w:val="008E2598"/>
    <w:rsid w:val="008E5861"/>
    <w:rsid w:val="008F381C"/>
    <w:rsid w:val="009143E3"/>
    <w:rsid w:val="00921A85"/>
    <w:rsid w:val="0092288A"/>
    <w:rsid w:val="009247CC"/>
    <w:rsid w:val="00926E55"/>
    <w:rsid w:val="00927B3D"/>
    <w:rsid w:val="00930A7D"/>
    <w:rsid w:val="009316CF"/>
    <w:rsid w:val="00941726"/>
    <w:rsid w:val="00942A11"/>
    <w:rsid w:val="00952968"/>
    <w:rsid w:val="00960204"/>
    <w:rsid w:val="00980C5C"/>
    <w:rsid w:val="009953EB"/>
    <w:rsid w:val="009A251B"/>
    <w:rsid w:val="009A6B39"/>
    <w:rsid w:val="009B1C3D"/>
    <w:rsid w:val="009C5E2D"/>
    <w:rsid w:val="009F5041"/>
    <w:rsid w:val="00A05658"/>
    <w:rsid w:val="00A06937"/>
    <w:rsid w:val="00A07693"/>
    <w:rsid w:val="00A223EE"/>
    <w:rsid w:val="00A32EDC"/>
    <w:rsid w:val="00A42264"/>
    <w:rsid w:val="00A4379E"/>
    <w:rsid w:val="00A463E3"/>
    <w:rsid w:val="00A5284B"/>
    <w:rsid w:val="00A566D1"/>
    <w:rsid w:val="00A63753"/>
    <w:rsid w:val="00A64891"/>
    <w:rsid w:val="00A8231C"/>
    <w:rsid w:val="00A82CCC"/>
    <w:rsid w:val="00A94A0F"/>
    <w:rsid w:val="00AA1545"/>
    <w:rsid w:val="00AA67E3"/>
    <w:rsid w:val="00AA7400"/>
    <w:rsid w:val="00AA7D2B"/>
    <w:rsid w:val="00AB41B3"/>
    <w:rsid w:val="00AB77B2"/>
    <w:rsid w:val="00AC58DB"/>
    <w:rsid w:val="00AD23CC"/>
    <w:rsid w:val="00AD7803"/>
    <w:rsid w:val="00AE76F2"/>
    <w:rsid w:val="00AF6D4B"/>
    <w:rsid w:val="00B10161"/>
    <w:rsid w:val="00B10539"/>
    <w:rsid w:val="00B13346"/>
    <w:rsid w:val="00B17CD9"/>
    <w:rsid w:val="00B17FC6"/>
    <w:rsid w:val="00B24608"/>
    <w:rsid w:val="00B41AD2"/>
    <w:rsid w:val="00B451C2"/>
    <w:rsid w:val="00B532B6"/>
    <w:rsid w:val="00B80CC0"/>
    <w:rsid w:val="00B86813"/>
    <w:rsid w:val="00B91A31"/>
    <w:rsid w:val="00B946FC"/>
    <w:rsid w:val="00BA35A4"/>
    <w:rsid w:val="00BA4AF0"/>
    <w:rsid w:val="00BB199E"/>
    <w:rsid w:val="00BC13A5"/>
    <w:rsid w:val="00BC69F9"/>
    <w:rsid w:val="00BD7561"/>
    <w:rsid w:val="00C054D8"/>
    <w:rsid w:val="00C17C8E"/>
    <w:rsid w:val="00C21C4E"/>
    <w:rsid w:val="00C26EDD"/>
    <w:rsid w:val="00C441C3"/>
    <w:rsid w:val="00C537A7"/>
    <w:rsid w:val="00C612FD"/>
    <w:rsid w:val="00C618BC"/>
    <w:rsid w:val="00C72097"/>
    <w:rsid w:val="00C724DF"/>
    <w:rsid w:val="00C749D0"/>
    <w:rsid w:val="00C75317"/>
    <w:rsid w:val="00C83513"/>
    <w:rsid w:val="00C835EA"/>
    <w:rsid w:val="00C85C2D"/>
    <w:rsid w:val="00C9444F"/>
    <w:rsid w:val="00C97503"/>
    <w:rsid w:val="00CA3DFD"/>
    <w:rsid w:val="00CA5AE1"/>
    <w:rsid w:val="00CB00AF"/>
    <w:rsid w:val="00CB42E1"/>
    <w:rsid w:val="00CB59CC"/>
    <w:rsid w:val="00CD6BC5"/>
    <w:rsid w:val="00CE0C89"/>
    <w:rsid w:val="00CE1501"/>
    <w:rsid w:val="00CE6629"/>
    <w:rsid w:val="00CF6D93"/>
    <w:rsid w:val="00D05843"/>
    <w:rsid w:val="00D0646A"/>
    <w:rsid w:val="00D14656"/>
    <w:rsid w:val="00D21A77"/>
    <w:rsid w:val="00D300EE"/>
    <w:rsid w:val="00D40E45"/>
    <w:rsid w:val="00D53E8E"/>
    <w:rsid w:val="00D542E2"/>
    <w:rsid w:val="00D56A63"/>
    <w:rsid w:val="00D92E56"/>
    <w:rsid w:val="00D930BA"/>
    <w:rsid w:val="00DA3310"/>
    <w:rsid w:val="00DA5622"/>
    <w:rsid w:val="00DB23AA"/>
    <w:rsid w:val="00DD4A4B"/>
    <w:rsid w:val="00DE5CF5"/>
    <w:rsid w:val="00DE62AB"/>
    <w:rsid w:val="00DF25EE"/>
    <w:rsid w:val="00DF6ACF"/>
    <w:rsid w:val="00E017DB"/>
    <w:rsid w:val="00E02342"/>
    <w:rsid w:val="00E11480"/>
    <w:rsid w:val="00E14A7F"/>
    <w:rsid w:val="00E16AA6"/>
    <w:rsid w:val="00E17ADA"/>
    <w:rsid w:val="00E26142"/>
    <w:rsid w:val="00E36A31"/>
    <w:rsid w:val="00E41ACE"/>
    <w:rsid w:val="00E425DE"/>
    <w:rsid w:val="00E51A19"/>
    <w:rsid w:val="00E538A8"/>
    <w:rsid w:val="00E53EB0"/>
    <w:rsid w:val="00E70C3C"/>
    <w:rsid w:val="00E7487E"/>
    <w:rsid w:val="00E77280"/>
    <w:rsid w:val="00E86024"/>
    <w:rsid w:val="00EA020B"/>
    <w:rsid w:val="00EA27F2"/>
    <w:rsid w:val="00EA4018"/>
    <w:rsid w:val="00EA70F6"/>
    <w:rsid w:val="00EB0B0B"/>
    <w:rsid w:val="00EC1E84"/>
    <w:rsid w:val="00EE4C66"/>
    <w:rsid w:val="00EF6D4C"/>
    <w:rsid w:val="00F05E6F"/>
    <w:rsid w:val="00F1728D"/>
    <w:rsid w:val="00F22AC9"/>
    <w:rsid w:val="00F36936"/>
    <w:rsid w:val="00F42CA3"/>
    <w:rsid w:val="00F44FB9"/>
    <w:rsid w:val="00F50E3F"/>
    <w:rsid w:val="00F61C96"/>
    <w:rsid w:val="00F651A2"/>
    <w:rsid w:val="00F70C4A"/>
    <w:rsid w:val="00F71AD5"/>
    <w:rsid w:val="00F73C3C"/>
    <w:rsid w:val="00F81D53"/>
    <w:rsid w:val="00F8256A"/>
    <w:rsid w:val="00F84D24"/>
    <w:rsid w:val="00F868EC"/>
    <w:rsid w:val="00FA0B02"/>
    <w:rsid w:val="00FA1BDE"/>
    <w:rsid w:val="00FB0542"/>
    <w:rsid w:val="00FC06CE"/>
    <w:rsid w:val="00FE38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4440D"/>
  <w15:chartTrackingRefBased/>
  <w15:docId w15:val="{4AEB352B-D09F-4D53-B1E0-CCDFC3FE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58B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558BC"/>
    <w:rPr>
      <w:color w:val="0563C1" w:themeColor="hyperlink"/>
      <w:u w:val="single"/>
    </w:rPr>
  </w:style>
  <w:style w:type="character" w:styleId="UnresolvedMention">
    <w:name w:val="Unresolved Mention"/>
    <w:basedOn w:val="DefaultParagraphFont"/>
    <w:uiPriority w:val="99"/>
    <w:semiHidden/>
    <w:unhideWhenUsed/>
    <w:rsid w:val="008558BC"/>
    <w:rPr>
      <w:color w:val="605E5C"/>
      <w:shd w:val="clear" w:color="auto" w:fill="E1DFDD"/>
    </w:rPr>
  </w:style>
  <w:style w:type="paragraph" w:styleId="ListParagraph">
    <w:name w:val="List Paragraph"/>
    <w:basedOn w:val="Normal"/>
    <w:uiPriority w:val="34"/>
    <w:qFormat/>
    <w:rsid w:val="00243B9C"/>
    <w:pPr>
      <w:ind w:left="720"/>
      <w:contextualSpacing/>
    </w:pPr>
  </w:style>
  <w:style w:type="paragraph" w:styleId="Header">
    <w:name w:val="header"/>
    <w:basedOn w:val="Normal"/>
    <w:link w:val="HeaderChar"/>
    <w:uiPriority w:val="99"/>
    <w:unhideWhenUsed/>
    <w:rsid w:val="007D7F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7FDC"/>
  </w:style>
  <w:style w:type="paragraph" w:styleId="Footer">
    <w:name w:val="footer"/>
    <w:basedOn w:val="Normal"/>
    <w:link w:val="FooterChar"/>
    <w:uiPriority w:val="99"/>
    <w:unhideWhenUsed/>
    <w:rsid w:val="007D7F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7FDC"/>
  </w:style>
  <w:style w:type="character" w:styleId="IntenseReference">
    <w:name w:val="Intense Reference"/>
    <w:basedOn w:val="DefaultParagraphFont"/>
    <w:uiPriority w:val="32"/>
    <w:qFormat/>
    <w:rsid w:val="00543FAB"/>
    <w:rPr>
      <w:b/>
      <w:bCs/>
      <w:smallCaps/>
      <w:color w:val="4472C4" w:themeColor="accent1"/>
      <w:spacing w:val="5"/>
    </w:rPr>
  </w:style>
  <w:style w:type="character" w:styleId="Strong">
    <w:name w:val="Strong"/>
    <w:basedOn w:val="DefaultParagraphFont"/>
    <w:uiPriority w:val="22"/>
    <w:qFormat/>
    <w:rsid w:val="00543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ti.zva.gov.lv/zalu-registr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3339</Words>
  <Characters>1904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Neikena</dc:creator>
  <cp:keywords/>
  <dc:description/>
  <cp:lastModifiedBy>SAM</cp:lastModifiedBy>
  <cp:revision>27</cp:revision>
  <dcterms:created xsi:type="dcterms:W3CDTF">2025-10-22T10:20:00Z</dcterms:created>
  <dcterms:modified xsi:type="dcterms:W3CDTF">2025-12-18T07:18:00Z</dcterms:modified>
</cp:coreProperties>
</file>