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601" w:type="dxa"/>
        <w:tblLayout w:type="fixed"/>
        <w:tblCellMar>
          <w:left w:w="0" w:type="dxa"/>
          <w:right w:w="0" w:type="dxa"/>
        </w:tblCellMar>
        <w:tblLook w:val="04A0" w:firstRow="1" w:lastRow="0" w:firstColumn="1" w:lastColumn="0" w:noHBand="0" w:noVBand="1"/>
      </w:tblPr>
      <w:tblGrid>
        <w:gridCol w:w="3601"/>
      </w:tblGrid>
      <w:tr w:rsidR="00037F79" w:rsidRPr="00DF52A4" w14:paraId="29CDCF0E" w14:textId="77777777" w:rsidTr="00160E15">
        <w:trPr>
          <w:cantSplit/>
          <w:trHeight w:hRule="exact" w:val="1258"/>
        </w:trPr>
        <w:sdt>
          <w:sdtPr>
            <w:rPr>
              <w:lang w:val="en-US"/>
            </w:rPr>
            <w:id w:val="4098630"/>
            <w:placeholder>
              <w:docPart w:val="FC356C61759245B38BD03C1D6F88D06F"/>
            </w:placeholder>
            <w:temporary/>
            <w:showingPlcHdr/>
            <w:text/>
          </w:sdtPr>
          <w:sdtContent>
            <w:tc>
              <w:tcPr>
                <w:tcW w:w="3601" w:type="dxa"/>
              </w:tcPr>
              <w:p w14:paraId="6815DD0B" w14:textId="77777777" w:rsidR="00037F79" w:rsidRPr="00DF52A4" w:rsidRDefault="00037F79" w:rsidP="00D645EA">
                <w:pPr>
                  <w:rPr>
                    <w:lang w:val="en-US"/>
                  </w:rPr>
                </w:pPr>
                <w:r>
                  <w:rPr>
                    <w:rStyle w:val="PlaceholderText"/>
                  </w:rPr>
                  <w:t>Noklikšķiniet šeit, lai ievadītu adresi.</w:t>
                </w:r>
              </w:p>
            </w:tc>
          </w:sdtContent>
        </w:sdt>
      </w:tr>
    </w:tbl>
    <w:p w14:paraId="147252D3" w14:textId="3A85B2B5" w:rsidR="00CD6DDD" w:rsidRPr="003F75A5" w:rsidRDefault="00D645EA" w:rsidP="00CD6DDD">
      <w:pPr>
        <w:pStyle w:val="DateandContact"/>
      </w:pPr>
      <w:r>
        <w:t xml:space="preserve">Hamburga, </w:t>
      </w:r>
      <w:sdt>
        <w:sdtPr>
          <w:id w:val="1937717884"/>
          <w:placeholder>
            <w:docPart w:val="0E501ADA0FB34211977D056A6B84C3B1"/>
          </w:placeholder>
          <w:date w:fullDate="2025-01-16T00:00:00Z">
            <w:dateFormat w:val="dd MMMM yyyy"/>
            <w:lid w:val="en-GB"/>
            <w:storeMappedDataAs w:val="dateTime"/>
            <w:calendar w:val="gregorian"/>
          </w:date>
        </w:sdtPr>
        <w:sdtContent>
          <w:r w:rsidR="00D1438B" w:rsidRPr="003F75A5">
            <w:t>16 January 2025</w:t>
          </w:r>
        </w:sdtContent>
      </w:sdt>
    </w:p>
    <w:p w14:paraId="2EC43D2F" w14:textId="77777777" w:rsidR="00CD6DDD" w:rsidRPr="003F75A5" w:rsidRDefault="00CD6DDD" w:rsidP="00CD6DDD">
      <w:pPr>
        <w:pStyle w:val="DateandContact"/>
        <w:rPr>
          <w:rFonts w:ascii="Arial" w:hAnsi="Arial" w:cs="Arial"/>
          <w:b/>
          <w:color w:val="FF0000"/>
          <w:sz w:val="28"/>
          <w:szCs w:val="28"/>
        </w:rPr>
      </w:pPr>
    </w:p>
    <w:p w14:paraId="7CAD11BC" w14:textId="77777777" w:rsidR="00CD6DDD" w:rsidRPr="003F75A5" w:rsidRDefault="00160E15" w:rsidP="00CD6DDD">
      <w:pPr>
        <w:pStyle w:val="DateandContact"/>
        <w:rPr>
          <w:rFonts w:ascii="Arial" w:hAnsi="Arial" w:cs="Arial"/>
          <w:b/>
          <w:color w:val="FF0000"/>
          <w:sz w:val="28"/>
          <w:szCs w:val="28"/>
        </w:rPr>
      </w:pPr>
      <w:r>
        <w:rPr>
          <w:rFonts w:ascii="Arial" w:hAnsi="Arial" w:cs="Arial"/>
          <w:b/>
          <w:color w:val="FF0000"/>
          <w:sz w:val="28"/>
          <w:szCs w:val="28"/>
        </w:rPr>
        <w:t>STEIDZAMS ZIŅOJUMS PAR MEDICĪNISKĀS IERĪCES OPERATĪVU KORIĢĒJOŠU DROŠUMA DARBĪBU</w:t>
      </w:r>
    </w:p>
    <w:p w14:paraId="2AADD90C" w14:textId="77777777" w:rsidR="00CD6DDD" w:rsidRPr="003F75A5" w:rsidRDefault="00CD6DDD" w:rsidP="00CD6DDD">
      <w:pPr>
        <w:pStyle w:val="DateandContact"/>
        <w:rPr>
          <w:rFonts w:ascii="Arial" w:eastAsiaTheme="minorEastAsia" w:hAnsi="Arial" w:cs="Arial"/>
          <w:b/>
          <w:color w:val="FF0000"/>
          <w:sz w:val="28"/>
          <w:szCs w:val="28"/>
        </w:rPr>
      </w:pPr>
    </w:p>
    <w:p w14:paraId="6D6B5C7D" w14:textId="4147CC95" w:rsidR="00CD6DDD" w:rsidRPr="003F75A5" w:rsidRDefault="00160E15" w:rsidP="00CD6DDD">
      <w:pPr>
        <w:pStyle w:val="DateandContact"/>
        <w:rPr>
          <w:rFonts w:ascii="Arial" w:eastAsiaTheme="minorEastAsia" w:hAnsi="Arial" w:cs="Arial"/>
          <w:b/>
          <w:color w:val="FF0000"/>
          <w:sz w:val="28"/>
          <w:szCs w:val="28"/>
          <w:lang w:val="da-DK"/>
        </w:rPr>
      </w:pPr>
      <w:r w:rsidRPr="003F75A5">
        <w:rPr>
          <w:rFonts w:ascii="Arial" w:eastAsiaTheme="minorEastAsia" w:hAnsi="Arial" w:cs="Arial"/>
          <w:b/>
          <w:color w:val="FF0000"/>
          <w:sz w:val="28"/>
          <w:szCs w:val="28"/>
          <w:lang w:val="da-DK"/>
        </w:rPr>
        <w:t xml:space="preserve">Ref: FSCA-PMJ-25-01_i20c sērijas endoskopi </w:t>
      </w:r>
    </w:p>
    <w:p w14:paraId="76F5D9C8" w14:textId="77777777" w:rsidR="00CD6DDD" w:rsidRPr="003F75A5" w:rsidRDefault="00CD6DDD" w:rsidP="00CD6DDD">
      <w:pPr>
        <w:pStyle w:val="DateandContact"/>
        <w:rPr>
          <w:rFonts w:ascii="Arial" w:eastAsiaTheme="minorEastAsia" w:hAnsi="Arial" w:cs="Arial"/>
          <w:b/>
          <w:color w:val="FF0000"/>
          <w:sz w:val="28"/>
          <w:szCs w:val="28"/>
          <w:lang w:val="da-DK"/>
        </w:rPr>
      </w:pPr>
    </w:p>
    <w:p w14:paraId="64B79C63" w14:textId="510AE84A" w:rsidR="00CD6DDD" w:rsidRPr="003F75A5" w:rsidRDefault="00160E15" w:rsidP="00CD6DDD">
      <w:pPr>
        <w:pStyle w:val="DateandContact"/>
        <w:rPr>
          <w:rFonts w:ascii="Arial" w:eastAsiaTheme="minorEastAsia" w:hAnsi="Arial" w:cs="Arial"/>
          <w:b/>
          <w:color w:val="FF0000"/>
          <w:sz w:val="28"/>
          <w:szCs w:val="28"/>
          <w:lang w:val="da-DK"/>
        </w:rPr>
      </w:pPr>
      <w:r w:rsidRPr="003F75A5">
        <w:rPr>
          <w:rFonts w:ascii="Arial" w:eastAsiaTheme="minorEastAsia" w:hAnsi="Arial" w:cs="Arial"/>
          <w:b/>
          <w:color w:val="FF0000"/>
          <w:sz w:val="28"/>
          <w:szCs w:val="28"/>
          <w:lang w:val="da-DK"/>
        </w:rPr>
        <w:t>Paziņojums par papildu piesardzības pasākumu, kas attiecas uz PENTAX MEDICAL video procesoru EPK-i8020</w:t>
      </w:r>
      <w:r w:rsidR="000F1589">
        <w:rPr>
          <w:rFonts w:ascii="Arial" w:eastAsiaTheme="minorEastAsia" w:hAnsi="Arial" w:cs="Arial"/>
          <w:b/>
          <w:color w:val="FF0000"/>
          <w:sz w:val="28"/>
          <w:szCs w:val="28"/>
          <w:lang w:val="da-DK"/>
        </w:rPr>
        <w:t>c</w:t>
      </w:r>
      <w:r w:rsidRPr="003F75A5">
        <w:rPr>
          <w:rFonts w:ascii="Arial" w:eastAsiaTheme="minorEastAsia" w:hAnsi="Arial" w:cs="Arial"/>
          <w:b/>
          <w:color w:val="FF0000"/>
          <w:sz w:val="28"/>
          <w:szCs w:val="28"/>
          <w:lang w:val="da-DK"/>
        </w:rPr>
        <w:t xml:space="preserve"> un PENTAX Medical i20c sērijas video endoskopiem. </w:t>
      </w:r>
    </w:p>
    <w:p w14:paraId="6A826A2A" w14:textId="77777777" w:rsidR="00CD6DDD" w:rsidRPr="003F75A5" w:rsidRDefault="00CD6DDD" w:rsidP="00CD6DDD">
      <w:pPr>
        <w:pStyle w:val="DateandContact"/>
        <w:rPr>
          <w:rFonts w:ascii="Arial" w:eastAsia="Calibri" w:hAnsi="Arial" w:cs="Arial"/>
          <w:noProof/>
          <w:szCs w:val="18"/>
          <w:u w:color="424448"/>
          <w:lang w:val="da-DK"/>
        </w:rPr>
      </w:pPr>
    </w:p>
    <w:p w14:paraId="25B91E25" w14:textId="3E1FF18C" w:rsidR="00CD6DDD" w:rsidRPr="003F75A5" w:rsidRDefault="00160E15" w:rsidP="00CD6DDD">
      <w:pPr>
        <w:pStyle w:val="DateandContact"/>
        <w:rPr>
          <w:rFonts w:ascii="Arial" w:eastAsia="Calibri" w:hAnsi="Arial" w:cs="Arial"/>
          <w:noProof/>
          <w:szCs w:val="18"/>
          <w:u w:color="424448"/>
          <w:lang w:val="da-DK"/>
        </w:rPr>
      </w:pPr>
      <w:r w:rsidRPr="003F75A5">
        <w:rPr>
          <w:rFonts w:ascii="Arial" w:eastAsia="Calibri" w:hAnsi="Arial" w:cs="Arial"/>
          <w:noProof/>
          <w:szCs w:val="18"/>
          <w:u w:color="424448"/>
          <w:lang w:val="da-DK"/>
        </w:rPr>
        <w:t>Cienījamo lietotāj!</w:t>
      </w:r>
    </w:p>
    <w:p w14:paraId="3BF4421E" w14:textId="77777777" w:rsidR="00CD6DDD" w:rsidRPr="003F75A5" w:rsidRDefault="00160E15" w:rsidP="00CD6DDD">
      <w:pPr>
        <w:pStyle w:val="DateandContact"/>
        <w:rPr>
          <w:rFonts w:ascii="Arial" w:eastAsia="Calibri" w:hAnsi="Arial" w:cs="Arial"/>
          <w:noProof/>
          <w:szCs w:val="18"/>
          <w:u w:color="424448"/>
          <w:lang w:val="da-DK"/>
        </w:rPr>
      </w:pPr>
      <w:r w:rsidRPr="003F75A5">
        <w:rPr>
          <w:rFonts w:ascii="Arial" w:eastAsia="Calibri" w:hAnsi="Arial" w:cs="Arial"/>
          <w:noProof/>
          <w:szCs w:val="18"/>
          <w:u w:color="424448"/>
          <w:lang w:val="da-DK"/>
        </w:rPr>
        <w:t>Šī vēstule paredzēta, lai informētu Jūs par to, ka PENTAX Medical (“PENTAX”) brīvprātīgi veic operatīvu koriģējošu drošuma darbību (Field Safety Corrective Action — FSCA) attiecībā uz ierīču lietošanas instrukcijām, kā norādīts turpmāk.</w:t>
      </w:r>
    </w:p>
    <w:p w14:paraId="444CDDC3" w14:textId="77777777" w:rsidR="00CD6DDD" w:rsidRPr="00DF52A4" w:rsidRDefault="00CD6DDD" w:rsidP="00CD6DDD">
      <w:pPr>
        <w:pStyle w:val="DateandContact"/>
        <w:rPr>
          <w:rFonts w:ascii="Arial" w:eastAsia="Meiryo UI" w:hAnsi="Arial" w:cs="Arial"/>
          <w:b/>
          <w:bCs/>
          <w:color w:val="000000" w:themeColor="text1"/>
          <w:u w:val="single"/>
          <w:lang w:val="en-GB"/>
        </w:rPr>
      </w:pPr>
      <w:r>
        <w:rPr>
          <w:rFonts w:ascii="Arial" w:eastAsia="Meiryo UI" w:hAnsi="Arial" w:cs="Arial"/>
          <w:b/>
          <w:bCs/>
          <w:color w:val="000000" w:themeColor="text1"/>
          <w:u w:val="single"/>
        </w:rPr>
        <w:t>Problēmas apraksts</w:t>
      </w:r>
    </w:p>
    <w:p w14:paraId="64A04E47" w14:textId="273C0307" w:rsidR="00160E15" w:rsidRPr="003F75A5" w:rsidRDefault="00160E15" w:rsidP="00CD6DDD">
      <w:pPr>
        <w:pStyle w:val="ListParagraph"/>
        <w:widowControl w:val="0"/>
        <w:numPr>
          <w:ilvl w:val="0"/>
          <w:numId w:val="24"/>
        </w:numPr>
        <w:spacing w:after="0" w:line="240" w:lineRule="auto"/>
        <w:jc w:val="both"/>
        <w:rPr>
          <w:rFonts w:ascii="Arial" w:eastAsia="Meiryo UI" w:hAnsi="Arial" w:cs="Arial"/>
          <w:color w:val="000000" w:themeColor="text1"/>
          <w:sz w:val="20"/>
          <w:szCs w:val="20"/>
          <w:lang w:val="en-GB"/>
        </w:rPr>
      </w:pPr>
      <w:r w:rsidRPr="003F75A5">
        <w:rPr>
          <w:rFonts w:ascii="Arial" w:eastAsia="Meiryo UI" w:hAnsi="Arial" w:cs="Arial"/>
          <w:color w:val="000000" w:themeColor="text1"/>
          <w:sz w:val="20"/>
          <w:szCs w:val="20"/>
          <w:lang w:val="en-GB"/>
        </w:rPr>
        <w:t xml:space="preserve">Endoskopisko procedūru laikā, izmantojot PENTAX Medical video procesora EPK-i8020c un PENTAX Medical i20c sērijas video endoskopu kombināciju, noteiktos apstākļos apskates attēls var kļūt sarkanīgs vai tumšāks. Lai arī neesam saņēmuši ziņojumus par nopietniem negadījumiem, daži lietotāji ir ievērojuši dūmiem līdzīgu tvaiku izdalīšanos un gaismas vada gala sakaršanu endoskopa lietošanas laikā / pēc endoskopa izņemšanas no pacienta, kas var radīt risku pacientiem. </w:t>
      </w:r>
    </w:p>
    <w:p w14:paraId="7D60F780" w14:textId="2D705244" w:rsidR="00160E15" w:rsidRPr="003F75A5" w:rsidRDefault="00160E15" w:rsidP="00160E15">
      <w:pPr>
        <w:pStyle w:val="ListParagraph"/>
        <w:widowControl w:val="0"/>
        <w:numPr>
          <w:ilvl w:val="0"/>
          <w:numId w:val="24"/>
        </w:numPr>
        <w:spacing w:after="0" w:line="240" w:lineRule="auto"/>
        <w:jc w:val="both"/>
        <w:rPr>
          <w:rFonts w:ascii="Arial" w:eastAsia="Meiryo UI" w:hAnsi="Arial" w:cs="Arial"/>
          <w:color w:val="000000" w:themeColor="text1"/>
          <w:sz w:val="20"/>
          <w:szCs w:val="20"/>
          <w:lang w:val="en-GB"/>
        </w:rPr>
      </w:pPr>
      <w:r w:rsidRPr="003F75A5">
        <w:rPr>
          <w:rFonts w:ascii="Arial" w:eastAsia="Meiryo UI" w:hAnsi="Arial" w:cs="Arial"/>
          <w:color w:val="000000" w:themeColor="text1"/>
          <w:sz w:val="20"/>
          <w:szCs w:val="20"/>
          <w:lang w:val="en-GB"/>
        </w:rPr>
        <w:t>Šis fenomens rodas, ja endoskopa distālajā galā izvietotajam gaismas vadam (apgaismošanas daļa) pielīp tādi materiāli kā gļotas vai asinis, kas maksimāli absorbē no gaismas avota izstaroto gaismu, izraisot uzkaršanu un koagulēšanos. Visbiežāk tas notiek OE (Optical Enhancement — optiskais pastiprinājums) režīmā, bet ir novērots arī baltās gaismas režīmā.</w:t>
      </w:r>
    </w:p>
    <w:p w14:paraId="0F0C5A6A" w14:textId="77777777" w:rsidR="00160E15" w:rsidRPr="00DF52A4" w:rsidRDefault="00160E15" w:rsidP="00160E15">
      <w:pPr>
        <w:pStyle w:val="ListParagraph"/>
        <w:widowControl w:val="0"/>
        <w:numPr>
          <w:ilvl w:val="0"/>
          <w:numId w:val="24"/>
        </w:numPr>
        <w:spacing w:after="0" w:line="240" w:lineRule="auto"/>
        <w:jc w:val="both"/>
        <w:rPr>
          <w:rFonts w:ascii="Arial" w:eastAsia="Meiryo UI" w:hAnsi="Arial" w:cs="Arial"/>
          <w:color w:val="000000" w:themeColor="text1"/>
          <w:sz w:val="20"/>
          <w:szCs w:val="20"/>
          <w:lang w:val="en-GB"/>
        </w:rPr>
      </w:pPr>
      <w:r w:rsidRPr="003F75A5">
        <w:rPr>
          <w:rFonts w:ascii="Arial" w:eastAsia="Meiryo UI" w:hAnsi="Arial" w:cs="Arial"/>
          <w:color w:val="000000" w:themeColor="text1"/>
          <w:sz w:val="20"/>
          <w:szCs w:val="20"/>
          <w:lang w:val="en-GB"/>
        </w:rPr>
        <w:t>Turpmāk norādītas ierīces, uz kurām attiecas paziņojums:</w:t>
      </w:r>
    </w:p>
    <w:p w14:paraId="67F54CB4" w14:textId="77777777" w:rsidR="00160E15" w:rsidRPr="00DF52A4" w:rsidRDefault="00160E15" w:rsidP="00160E15">
      <w:pPr>
        <w:rPr>
          <w:rFonts w:ascii="Arial" w:eastAsia="Meiryo UI" w:hAnsi="Arial" w:cs="Arial"/>
          <w:color w:val="000000" w:themeColor="text1"/>
          <w:szCs w:val="20"/>
          <w:lang w:val="en-GB"/>
        </w:rPr>
      </w:pPr>
    </w:p>
    <w:tbl>
      <w:tblPr>
        <w:tblStyle w:val="TableGrid"/>
        <w:tblW w:w="0" w:type="auto"/>
        <w:tblLook w:val="04A0" w:firstRow="1" w:lastRow="0" w:firstColumn="1" w:lastColumn="0" w:noHBand="0" w:noVBand="1"/>
      </w:tblPr>
      <w:tblGrid>
        <w:gridCol w:w="2831"/>
        <w:gridCol w:w="2831"/>
        <w:gridCol w:w="2832"/>
      </w:tblGrid>
      <w:tr w:rsidR="00160E15" w:rsidRPr="00DF52A4" w14:paraId="6E9F77AD" w14:textId="77777777" w:rsidTr="00224E12">
        <w:tc>
          <w:tcPr>
            <w:tcW w:w="2831" w:type="dxa"/>
          </w:tcPr>
          <w:p w14:paraId="488C7812" w14:textId="77777777" w:rsidR="00160E15" w:rsidRPr="00DF52A4" w:rsidRDefault="00160E15" w:rsidP="00224E12">
            <w:pPr>
              <w:rPr>
                <w:rFonts w:ascii="Arial" w:eastAsia="Meiryo UI" w:hAnsi="Arial" w:cs="Arial"/>
                <w:b/>
                <w:bCs/>
                <w:color w:val="000000" w:themeColor="text1"/>
                <w:szCs w:val="20"/>
              </w:rPr>
            </w:pPr>
            <w:bookmarkStart w:id="0" w:name="_Hlk180398620"/>
            <w:r>
              <w:rPr>
                <w:rFonts w:ascii="Arial" w:hAnsi="Arial" w:cs="Arial"/>
                <w:b/>
                <w:bCs/>
                <w:color w:val="000000" w:themeColor="text1"/>
                <w:szCs w:val="20"/>
              </w:rPr>
              <w:t>Modeļa nosaukums</w:t>
            </w:r>
          </w:p>
        </w:tc>
        <w:tc>
          <w:tcPr>
            <w:tcW w:w="2831" w:type="dxa"/>
          </w:tcPr>
          <w:p w14:paraId="4FE72CD8" w14:textId="77777777" w:rsidR="00160E15" w:rsidRPr="00DF52A4" w:rsidRDefault="00160E15" w:rsidP="00224E12">
            <w:pPr>
              <w:rPr>
                <w:rFonts w:ascii="Arial" w:eastAsia="Meiryo UI" w:hAnsi="Arial" w:cs="Arial"/>
                <w:b/>
                <w:bCs/>
                <w:color w:val="000000" w:themeColor="text1"/>
                <w:szCs w:val="20"/>
              </w:rPr>
            </w:pPr>
            <w:r>
              <w:rPr>
                <w:rFonts w:ascii="Arial" w:hAnsi="Arial" w:cs="Arial"/>
                <w:b/>
                <w:bCs/>
                <w:color w:val="000000" w:themeColor="text1"/>
                <w:szCs w:val="20"/>
              </w:rPr>
              <w:t>Vispārīgais nosaukums</w:t>
            </w:r>
          </w:p>
        </w:tc>
        <w:tc>
          <w:tcPr>
            <w:tcW w:w="2832" w:type="dxa"/>
          </w:tcPr>
          <w:p w14:paraId="72B0404B" w14:textId="77777777" w:rsidR="00160E15" w:rsidRPr="00DF52A4" w:rsidRDefault="00160E15" w:rsidP="00224E12">
            <w:pPr>
              <w:rPr>
                <w:rFonts w:ascii="Arial" w:eastAsia="Meiryo UI" w:hAnsi="Arial" w:cs="Arial"/>
                <w:b/>
                <w:bCs/>
                <w:color w:val="000000" w:themeColor="text1"/>
                <w:szCs w:val="20"/>
              </w:rPr>
            </w:pPr>
            <w:r>
              <w:rPr>
                <w:rFonts w:ascii="Arial" w:hAnsi="Arial" w:cs="Arial"/>
                <w:b/>
                <w:bCs/>
                <w:color w:val="000000" w:themeColor="text1"/>
                <w:szCs w:val="20"/>
              </w:rPr>
              <w:t>Pamata UDI-DI</w:t>
            </w:r>
          </w:p>
        </w:tc>
      </w:tr>
      <w:tr w:rsidR="00160E15" w:rsidRPr="00DF52A4" w14:paraId="42642157" w14:textId="77777777" w:rsidTr="00224E12">
        <w:tc>
          <w:tcPr>
            <w:tcW w:w="2831" w:type="dxa"/>
          </w:tcPr>
          <w:p w14:paraId="76BF208E" w14:textId="77777777" w:rsidR="00160E15" w:rsidRPr="00DF52A4" w:rsidRDefault="00160E15" w:rsidP="00224E12">
            <w:pPr>
              <w:rPr>
                <w:rFonts w:ascii="Arial" w:eastAsia="Meiryo UI" w:hAnsi="Arial" w:cs="Arial"/>
                <w:color w:val="000000" w:themeColor="text1"/>
                <w:szCs w:val="20"/>
              </w:rPr>
            </w:pPr>
            <w:r>
              <w:rPr>
                <w:rFonts w:ascii="Arial" w:hAnsi="Arial" w:cs="Arial"/>
                <w:color w:val="000000" w:themeColor="text1"/>
                <w:szCs w:val="20"/>
              </w:rPr>
              <w:t>EPK-i8020c</w:t>
            </w:r>
          </w:p>
        </w:tc>
        <w:tc>
          <w:tcPr>
            <w:tcW w:w="2831" w:type="dxa"/>
          </w:tcPr>
          <w:p w14:paraId="1D50D968" w14:textId="77777777" w:rsidR="00160E15" w:rsidRPr="00DF52A4" w:rsidRDefault="00160E15" w:rsidP="00224E12">
            <w:pPr>
              <w:rPr>
                <w:rFonts w:ascii="Arial" w:eastAsia="Meiryo UI" w:hAnsi="Arial" w:cs="Arial"/>
                <w:color w:val="000000" w:themeColor="text1"/>
                <w:szCs w:val="20"/>
              </w:rPr>
            </w:pPr>
            <w:r>
              <w:rPr>
                <w:rFonts w:ascii="Arial" w:hAnsi="Arial" w:cs="Arial"/>
                <w:color w:val="000000" w:themeColor="text1"/>
                <w:szCs w:val="20"/>
              </w:rPr>
              <w:t>PENTAX Medical video procesors</w:t>
            </w:r>
          </w:p>
        </w:tc>
        <w:tc>
          <w:tcPr>
            <w:tcW w:w="2832" w:type="dxa"/>
          </w:tcPr>
          <w:p w14:paraId="41B11AF6" w14:textId="77777777" w:rsidR="00160E15" w:rsidRPr="00DF52A4" w:rsidRDefault="00160E15" w:rsidP="00224E12">
            <w:pPr>
              <w:rPr>
                <w:rFonts w:ascii="Arial" w:eastAsia="Meiryo UI" w:hAnsi="Arial" w:cs="Arial"/>
                <w:color w:val="000000" w:themeColor="text1"/>
                <w:szCs w:val="20"/>
              </w:rPr>
            </w:pPr>
            <w:r>
              <w:rPr>
                <w:rFonts w:ascii="Arial" w:hAnsi="Arial" w:cs="Arial"/>
                <w:color w:val="000000" w:themeColor="text1"/>
                <w:szCs w:val="20"/>
              </w:rPr>
              <w:t>4961333010301XN</w:t>
            </w:r>
          </w:p>
        </w:tc>
      </w:tr>
      <w:tr w:rsidR="00160E15" w:rsidRPr="00DF52A4" w14:paraId="21D5F04D" w14:textId="77777777" w:rsidTr="00224E12">
        <w:tc>
          <w:tcPr>
            <w:tcW w:w="2831" w:type="dxa"/>
          </w:tcPr>
          <w:p w14:paraId="165FD582" w14:textId="77777777" w:rsidR="00160E15" w:rsidRPr="00D1438B" w:rsidRDefault="00160E15" w:rsidP="00224E12">
            <w:pPr>
              <w:rPr>
                <w:rFonts w:ascii="Arial" w:eastAsia="Meiryo UI" w:hAnsi="Arial" w:cs="Arial"/>
                <w:color w:val="000000" w:themeColor="text1"/>
                <w:szCs w:val="20"/>
                <w:lang w:val="en-US"/>
              </w:rPr>
            </w:pPr>
            <w:r>
              <w:rPr>
                <w:rFonts w:ascii="Arial" w:hAnsi="Arial" w:cs="Arial"/>
                <w:color w:val="000000" w:themeColor="text1"/>
                <w:szCs w:val="20"/>
              </w:rPr>
              <w:t xml:space="preserve">EC34-i20cL, EC34-i20cF, EC34-i20cM, EC38-i20cL, EC38-i20cF, EC38-i20cM </w:t>
            </w:r>
          </w:p>
        </w:tc>
        <w:tc>
          <w:tcPr>
            <w:tcW w:w="2831" w:type="dxa"/>
          </w:tcPr>
          <w:p w14:paraId="758E99F7" w14:textId="77777777" w:rsidR="00160E15" w:rsidRPr="00DF52A4" w:rsidRDefault="00160E15" w:rsidP="00224E12">
            <w:pPr>
              <w:rPr>
                <w:rFonts w:ascii="Arial" w:eastAsia="Meiryo UI" w:hAnsi="Arial" w:cs="Arial"/>
                <w:color w:val="000000" w:themeColor="text1"/>
                <w:szCs w:val="20"/>
              </w:rPr>
            </w:pPr>
            <w:r>
              <w:rPr>
                <w:rFonts w:ascii="Arial" w:hAnsi="Arial" w:cs="Arial"/>
                <w:color w:val="000000" w:themeColor="text1"/>
                <w:szCs w:val="20"/>
              </w:rPr>
              <w:t>PENTAX Medical video kolonoskops</w:t>
            </w:r>
          </w:p>
        </w:tc>
        <w:tc>
          <w:tcPr>
            <w:tcW w:w="2832" w:type="dxa"/>
          </w:tcPr>
          <w:p w14:paraId="7AB58C57" w14:textId="77777777" w:rsidR="00160E15" w:rsidRPr="00DF52A4" w:rsidRDefault="00160E15" w:rsidP="00224E12">
            <w:pPr>
              <w:rPr>
                <w:rFonts w:ascii="Arial" w:eastAsia="Meiryo UI" w:hAnsi="Arial" w:cs="Arial"/>
                <w:color w:val="000000" w:themeColor="text1"/>
                <w:szCs w:val="20"/>
              </w:rPr>
            </w:pPr>
            <w:r>
              <w:rPr>
                <w:rFonts w:ascii="Arial" w:hAnsi="Arial" w:cs="Arial"/>
                <w:color w:val="000000" w:themeColor="text1"/>
                <w:szCs w:val="20"/>
              </w:rPr>
              <w:t>4961333010102XE</w:t>
            </w:r>
          </w:p>
        </w:tc>
      </w:tr>
      <w:tr w:rsidR="00160E15" w:rsidRPr="00DF52A4" w14:paraId="7C0D4D8D" w14:textId="77777777" w:rsidTr="00224E12">
        <w:tc>
          <w:tcPr>
            <w:tcW w:w="2831" w:type="dxa"/>
          </w:tcPr>
          <w:p w14:paraId="277075D8" w14:textId="77777777" w:rsidR="00160E15" w:rsidRPr="00DF52A4" w:rsidRDefault="00160E15" w:rsidP="00224E12">
            <w:pPr>
              <w:rPr>
                <w:rFonts w:ascii="Arial" w:eastAsia="Meiryo UI" w:hAnsi="Arial" w:cs="Arial"/>
                <w:color w:val="000000" w:themeColor="text1"/>
                <w:szCs w:val="20"/>
                <w:lang w:val="da-DK"/>
              </w:rPr>
            </w:pPr>
            <w:r>
              <w:rPr>
                <w:rFonts w:ascii="Arial" w:hAnsi="Arial" w:cs="Arial"/>
                <w:color w:val="000000" w:themeColor="text1"/>
                <w:szCs w:val="20"/>
              </w:rPr>
              <w:t>EG27-i20c, EG29-i20c</w:t>
            </w:r>
          </w:p>
        </w:tc>
        <w:tc>
          <w:tcPr>
            <w:tcW w:w="2831" w:type="dxa"/>
          </w:tcPr>
          <w:p w14:paraId="206597F8" w14:textId="77777777" w:rsidR="00160E15" w:rsidRPr="00DF52A4" w:rsidRDefault="00160E15" w:rsidP="00224E12">
            <w:pPr>
              <w:rPr>
                <w:rFonts w:ascii="Arial" w:eastAsia="Meiryo UI" w:hAnsi="Arial" w:cs="Arial"/>
                <w:color w:val="000000" w:themeColor="text1"/>
                <w:szCs w:val="20"/>
                <w:lang w:val="da-DK"/>
              </w:rPr>
            </w:pPr>
            <w:r w:rsidRPr="003F75A5">
              <w:rPr>
                <w:rFonts w:ascii="Arial" w:hAnsi="Arial" w:cs="Arial"/>
                <w:color w:val="000000" w:themeColor="text1"/>
                <w:szCs w:val="20"/>
                <w:lang w:val="da-DK"/>
              </w:rPr>
              <w:t>PENTAX Medical kuņģa-zarnu trakta augšējās daļas video endoskops</w:t>
            </w:r>
          </w:p>
        </w:tc>
        <w:tc>
          <w:tcPr>
            <w:tcW w:w="2832" w:type="dxa"/>
          </w:tcPr>
          <w:p w14:paraId="7483B6EB" w14:textId="77777777" w:rsidR="00160E15" w:rsidRPr="00DF52A4" w:rsidRDefault="00160E15" w:rsidP="00224E12">
            <w:pPr>
              <w:rPr>
                <w:rFonts w:ascii="Arial" w:eastAsia="Meiryo UI" w:hAnsi="Arial" w:cs="Arial"/>
                <w:color w:val="000000" w:themeColor="text1"/>
                <w:szCs w:val="20"/>
                <w:lang w:val="da-DK"/>
              </w:rPr>
            </w:pPr>
            <w:r>
              <w:rPr>
                <w:rFonts w:ascii="Arial" w:hAnsi="Arial" w:cs="Arial"/>
                <w:color w:val="000000" w:themeColor="text1"/>
                <w:szCs w:val="20"/>
              </w:rPr>
              <w:t>4961333010104XJ</w:t>
            </w:r>
          </w:p>
        </w:tc>
      </w:tr>
      <w:bookmarkEnd w:id="0"/>
    </w:tbl>
    <w:p w14:paraId="256527EA" w14:textId="77777777" w:rsidR="00160E15" w:rsidRPr="00DF52A4" w:rsidRDefault="00160E15" w:rsidP="00160E15">
      <w:pPr>
        <w:rPr>
          <w:rFonts w:ascii="Arial" w:eastAsia="Meiryo UI" w:hAnsi="Arial" w:cs="Arial"/>
          <w:color w:val="000000" w:themeColor="text1"/>
          <w:szCs w:val="20"/>
          <w:lang w:val="da-DK"/>
        </w:rPr>
      </w:pPr>
    </w:p>
    <w:p w14:paraId="34B90211" w14:textId="77777777" w:rsidR="00160E15" w:rsidRPr="003F75A5" w:rsidRDefault="00160E15" w:rsidP="00160E15">
      <w:pPr>
        <w:pStyle w:val="ListParagraph"/>
        <w:widowControl w:val="0"/>
        <w:numPr>
          <w:ilvl w:val="0"/>
          <w:numId w:val="24"/>
        </w:numPr>
        <w:spacing w:after="0" w:line="240" w:lineRule="auto"/>
        <w:jc w:val="both"/>
        <w:rPr>
          <w:rFonts w:ascii="Arial" w:eastAsia="Meiryo UI" w:hAnsi="Arial" w:cs="Arial"/>
          <w:color w:val="000000" w:themeColor="text1"/>
          <w:sz w:val="20"/>
          <w:szCs w:val="20"/>
          <w:lang w:val="da-DK"/>
        </w:rPr>
      </w:pPr>
      <w:r w:rsidRPr="003F75A5">
        <w:rPr>
          <w:rFonts w:ascii="Arial" w:eastAsia="Meiryo UI" w:hAnsi="Arial" w:cs="Arial"/>
          <w:color w:val="000000" w:themeColor="text1"/>
          <w:sz w:val="20"/>
          <w:szCs w:val="20"/>
          <w:lang w:val="da-DK"/>
        </w:rPr>
        <w:t>Lai arī pašreizējā lietošanas instrukcijā jau ir iekļauti brīdinājumi par iespējamo risku, PENTAX ir sagatavojis šo operatīvo drošuma ziņojumu, lai vēl vairāk samazinātu iespējamo risku veselībai.</w:t>
      </w:r>
    </w:p>
    <w:p w14:paraId="61C98B99" w14:textId="77777777" w:rsidR="00160E15" w:rsidRPr="00DF52A4" w:rsidRDefault="00160E15" w:rsidP="00160E15">
      <w:pPr>
        <w:jc w:val="both"/>
        <w:rPr>
          <w:rFonts w:ascii="Arial" w:eastAsia="Meiryo UI" w:hAnsi="Arial" w:cs="Arial"/>
          <w:b/>
          <w:bCs/>
          <w:color w:val="000000" w:themeColor="text1"/>
          <w:u w:val="single"/>
          <w:lang w:val="en-GB"/>
        </w:rPr>
      </w:pPr>
      <w:r>
        <w:rPr>
          <w:rFonts w:ascii="Arial" w:eastAsia="Meiryo UI" w:hAnsi="Arial" w:cs="Arial"/>
          <w:b/>
          <w:bCs/>
          <w:color w:val="000000" w:themeColor="text1"/>
          <w:u w:val="single"/>
        </w:rPr>
        <w:t>Darbības, kas jāveic klientam/lietotājam</w:t>
      </w:r>
    </w:p>
    <w:p w14:paraId="0BFD51AA" w14:textId="77777777" w:rsidR="00160E15" w:rsidRPr="003F75A5" w:rsidRDefault="00160E15" w:rsidP="00160E15">
      <w:pPr>
        <w:pStyle w:val="ListParagraph"/>
        <w:widowControl w:val="0"/>
        <w:numPr>
          <w:ilvl w:val="0"/>
          <w:numId w:val="24"/>
        </w:numPr>
        <w:spacing w:after="0" w:line="240" w:lineRule="auto"/>
        <w:jc w:val="both"/>
        <w:rPr>
          <w:rFonts w:ascii="Arial" w:eastAsia="Meiryo UI" w:hAnsi="Arial" w:cs="Arial"/>
          <w:color w:val="000000" w:themeColor="text1"/>
          <w:sz w:val="20"/>
          <w:szCs w:val="20"/>
          <w:lang w:val="en-GB"/>
        </w:rPr>
      </w:pPr>
      <w:r w:rsidRPr="003F75A5">
        <w:rPr>
          <w:rFonts w:ascii="Arial" w:eastAsia="Meiryo UI" w:hAnsi="Arial" w:cs="Arial"/>
          <w:color w:val="000000" w:themeColor="text1"/>
          <w:sz w:val="20"/>
          <w:szCs w:val="20"/>
          <w:lang w:val="en-GB"/>
        </w:rPr>
        <w:lastRenderedPageBreak/>
        <w:t xml:space="preserve">Pirms lietošanas veiciet pārbaudi atbilstoši norādījumiem lietošanas instrukcijā, lai pārliecinātos, ka gaismas vadam nav pielipuši svešķermeņi, tam nav skrāpējumu, ieplīsumu vai citu bojājumu. </w:t>
      </w:r>
    </w:p>
    <w:p w14:paraId="48F62710" w14:textId="77777777" w:rsidR="00CD6DDD" w:rsidRPr="003F75A5" w:rsidRDefault="00160E15" w:rsidP="00160E15">
      <w:pPr>
        <w:pStyle w:val="ListParagraph"/>
        <w:widowControl w:val="0"/>
        <w:numPr>
          <w:ilvl w:val="0"/>
          <w:numId w:val="24"/>
        </w:numPr>
        <w:spacing w:after="0" w:line="240" w:lineRule="auto"/>
        <w:jc w:val="both"/>
        <w:rPr>
          <w:rFonts w:ascii="Arial" w:eastAsia="Meiryo UI" w:hAnsi="Arial" w:cs="Arial"/>
          <w:color w:val="000000" w:themeColor="text1"/>
          <w:sz w:val="20"/>
          <w:szCs w:val="20"/>
          <w:lang w:val="en-GB"/>
        </w:rPr>
      </w:pPr>
      <w:r w:rsidRPr="003F75A5">
        <w:rPr>
          <w:rFonts w:ascii="Arial" w:eastAsia="Meiryo UI" w:hAnsi="Arial" w:cs="Arial"/>
          <w:color w:val="000000" w:themeColor="text1"/>
          <w:sz w:val="20"/>
          <w:szCs w:val="20"/>
          <w:lang w:val="en-GB"/>
        </w:rPr>
        <w:t xml:space="preserve">Nelietojiet OE (Optical Enhancement — optiskais pastiprinājums) režīmu, ja pastāv asiņošana, piemēram, hematemēze vai hematohēzija, vai ja endoskopiskās izmeklēšanas vai procedūras laikā konstatēta izteikta asiņošana. </w:t>
      </w:r>
    </w:p>
    <w:p w14:paraId="10329B83" w14:textId="282FB316" w:rsidR="00160E15" w:rsidRPr="003F75A5" w:rsidRDefault="00160E15" w:rsidP="00CD6DDD">
      <w:pPr>
        <w:pStyle w:val="ListParagraph"/>
        <w:widowControl w:val="0"/>
        <w:spacing w:after="0" w:line="240" w:lineRule="auto"/>
        <w:ind w:left="440"/>
        <w:jc w:val="both"/>
        <w:rPr>
          <w:rFonts w:ascii="Arial" w:eastAsia="Meiryo UI" w:hAnsi="Arial" w:cs="Arial"/>
          <w:color w:val="000000" w:themeColor="text1"/>
          <w:sz w:val="20"/>
          <w:szCs w:val="20"/>
          <w:lang w:val="en-GB"/>
        </w:rPr>
      </w:pPr>
      <w:r w:rsidRPr="003F75A5">
        <w:rPr>
          <w:rFonts w:ascii="Arial" w:eastAsia="Meiryo UI" w:hAnsi="Arial" w:cs="Arial"/>
          <w:color w:val="000000" w:themeColor="text1"/>
          <w:sz w:val="20"/>
          <w:szCs w:val="20"/>
          <w:lang w:val="en-GB"/>
        </w:rPr>
        <w:t>Izmantojiet parasto apskates režīmu un iestatiet pēc iespējas mazāku spilgtumu.</w:t>
      </w:r>
    </w:p>
    <w:p w14:paraId="00849F46" w14:textId="77777777" w:rsidR="00160E15" w:rsidRPr="003F75A5" w:rsidRDefault="00160E15" w:rsidP="00160E15">
      <w:pPr>
        <w:pStyle w:val="ListParagraph"/>
        <w:widowControl w:val="0"/>
        <w:numPr>
          <w:ilvl w:val="0"/>
          <w:numId w:val="24"/>
        </w:numPr>
        <w:spacing w:after="0" w:line="240" w:lineRule="auto"/>
        <w:jc w:val="both"/>
        <w:rPr>
          <w:rFonts w:ascii="Arial" w:eastAsia="Meiryo UI" w:hAnsi="Arial" w:cs="Arial"/>
          <w:color w:val="000000" w:themeColor="text1"/>
          <w:sz w:val="20"/>
          <w:szCs w:val="20"/>
          <w:lang w:val="en-GB"/>
        </w:rPr>
      </w:pPr>
      <w:r w:rsidRPr="003F75A5">
        <w:rPr>
          <w:rFonts w:ascii="Arial" w:eastAsia="Meiryo UI" w:hAnsi="Arial" w:cs="Arial"/>
          <w:color w:val="000000" w:themeColor="text1"/>
          <w:sz w:val="20"/>
          <w:szCs w:val="20"/>
          <w:lang w:val="en-GB"/>
        </w:rPr>
        <w:t xml:space="preserve">Pārtrauciet lietošanu un nekavējoties izņemiet endoskopu no pacienta, turot to pietiekamā attālumā no gļotādas, ja pamanāt jebkādas neatbilstības, piemēram, apskates attēls ir sarkanīgs vai tumšāks nekā parasti. Temperatūra endoskopa galā var palielināties un izraisīt termiskus pacienta gļotādas bojājumus. </w:t>
      </w:r>
    </w:p>
    <w:p w14:paraId="7ADEFA1F" w14:textId="77777777" w:rsidR="00160E15" w:rsidRPr="003F75A5" w:rsidRDefault="00160E15" w:rsidP="00160E15">
      <w:pPr>
        <w:pStyle w:val="ListParagraph"/>
        <w:widowControl w:val="0"/>
        <w:numPr>
          <w:ilvl w:val="0"/>
          <w:numId w:val="24"/>
        </w:numPr>
        <w:spacing w:after="0" w:line="240" w:lineRule="auto"/>
        <w:jc w:val="both"/>
        <w:rPr>
          <w:rFonts w:ascii="Arial" w:eastAsia="Meiryo UI" w:hAnsi="Arial" w:cs="Arial"/>
          <w:color w:val="000000" w:themeColor="text1"/>
          <w:sz w:val="20"/>
          <w:szCs w:val="20"/>
          <w:lang w:val="en-GB"/>
        </w:rPr>
      </w:pPr>
      <w:r w:rsidRPr="003F75A5">
        <w:rPr>
          <w:rFonts w:ascii="Arial" w:eastAsia="Meiryo UI" w:hAnsi="Arial" w:cs="Arial"/>
          <w:color w:val="000000" w:themeColor="text1"/>
          <w:sz w:val="20"/>
          <w:szCs w:val="20"/>
          <w:lang w:val="en-GB"/>
        </w:rPr>
        <w:t>Pēc endoskopa izņemšanas izslēdziet video procesora spuldzi. Pārbaudiet endoskopa distālo galu, noņemiet pielipušo pacienta materiālu un pirms atkārtotas lietošanas pārliecinieties, ka gaismas vads nav bojāts. Ja nav iespējams pilnībā noņemt pacienta materiālu no endoskopa distālā gala, pārtrauciet lietošanu un sazinieties ar PENTAX servisa iestādi, lai pieteiktu remontu.</w:t>
      </w:r>
    </w:p>
    <w:p w14:paraId="572E7238" w14:textId="77777777" w:rsidR="00160E15" w:rsidRPr="003F75A5" w:rsidRDefault="00160E15" w:rsidP="00160E15">
      <w:pPr>
        <w:pStyle w:val="ListParagraph"/>
        <w:widowControl w:val="0"/>
        <w:numPr>
          <w:ilvl w:val="0"/>
          <w:numId w:val="24"/>
        </w:numPr>
        <w:spacing w:after="0" w:line="240" w:lineRule="auto"/>
        <w:jc w:val="both"/>
        <w:rPr>
          <w:rFonts w:ascii="Arial" w:eastAsia="Meiryo UI" w:hAnsi="Arial" w:cs="Arial"/>
          <w:color w:val="000000" w:themeColor="text1"/>
          <w:sz w:val="20"/>
          <w:szCs w:val="20"/>
          <w:lang w:val="en-GB"/>
        </w:rPr>
      </w:pPr>
      <w:r w:rsidRPr="003F75A5">
        <w:rPr>
          <w:rFonts w:ascii="Arial" w:eastAsia="Meiryo UI" w:hAnsi="Arial" w:cs="Arial"/>
          <w:color w:val="000000" w:themeColor="text1"/>
          <w:sz w:val="20"/>
          <w:szCs w:val="20"/>
          <w:lang w:val="en-GB"/>
        </w:rPr>
        <w:t xml:space="preserve">Pievienojiet lietošanas instrukcijai zemāk attēloto norādi </w:t>
      </w:r>
      <w:r w:rsidRPr="003F75A5">
        <w:rPr>
          <w:rFonts w:ascii="Arial" w:eastAsia="Meiryo UI" w:hAnsi="Arial" w:cs="Arial"/>
          <w:b/>
          <w:bCs/>
          <w:color w:val="000000" w:themeColor="text1"/>
          <w:sz w:val="20"/>
          <w:szCs w:val="20"/>
          <w:lang w:val="en-GB"/>
        </w:rPr>
        <w:t>Uzmanību!</w:t>
      </w:r>
      <w:r w:rsidRPr="003F75A5">
        <w:rPr>
          <w:rFonts w:ascii="Arial" w:eastAsia="Meiryo UI" w:hAnsi="Arial" w:cs="Arial"/>
          <w:color w:val="000000" w:themeColor="text1"/>
          <w:sz w:val="20"/>
          <w:szCs w:val="20"/>
          <w:lang w:val="en-GB"/>
        </w:rPr>
        <w:t xml:space="preserve"> un atbilstoši informējiet darbiniekus.</w:t>
      </w:r>
    </w:p>
    <w:p w14:paraId="2BE0B692" w14:textId="5743F4CA" w:rsidR="00160E15" w:rsidRPr="00DF52A4" w:rsidRDefault="00160E15" w:rsidP="00160E15">
      <w:pPr>
        <w:jc w:val="both"/>
        <w:rPr>
          <w:rFonts w:ascii="Arial" w:eastAsia="Meiryo UI" w:hAnsi="Arial" w:cs="Arial"/>
          <w:color w:val="000000" w:themeColor="text1"/>
          <w:szCs w:val="20"/>
          <w:lang w:val="en-GB"/>
        </w:rPr>
      </w:pPr>
      <w:r w:rsidRPr="003F75A5">
        <w:rPr>
          <w:rFonts w:ascii="Arial" w:eastAsia="Meiryo UI" w:hAnsi="Arial" w:cs="Arial"/>
          <w:color w:val="000000" w:themeColor="text1"/>
          <w:szCs w:val="20"/>
          <w:lang w:val="en-GB"/>
        </w:rPr>
        <w:t>(Ja pacienta materiālu nav iespējams pilnībā noņemt no endoskopa, sazinieties ar PENTAX servisa iestādi, lai pieteiktu remontu.)</w:t>
      </w:r>
    </w:p>
    <w:p w14:paraId="66C8CBEA" w14:textId="77777777" w:rsidR="00160E15" w:rsidRPr="00DF52A4" w:rsidRDefault="00160E15" w:rsidP="00160E15">
      <w:pPr>
        <w:jc w:val="both"/>
        <w:rPr>
          <w:rFonts w:ascii="Arial" w:eastAsia="Meiryo UI" w:hAnsi="Arial" w:cs="Arial"/>
          <w:color w:val="000000" w:themeColor="text1"/>
          <w:szCs w:val="20"/>
          <w:lang w:val="en-GB"/>
        </w:rPr>
      </w:pPr>
    </w:p>
    <w:p w14:paraId="4043B7C9" w14:textId="77777777" w:rsidR="00160E15" w:rsidRPr="00DF52A4" w:rsidRDefault="00160E15" w:rsidP="00160E15">
      <w:pPr>
        <w:jc w:val="both"/>
        <w:rPr>
          <w:rFonts w:ascii="Arial" w:eastAsia="Meiryo UI" w:hAnsi="Arial" w:cs="Arial"/>
          <w:b/>
          <w:bCs/>
          <w:color w:val="000000" w:themeColor="text1"/>
          <w:szCs w:val="20"/>
          <w:u w:val="single"/>
          <w:lang w:val="en-GB"/>
        </w:rPr>
      </w:pPr>
      <w:r w:rsidRPr="003F75A5">
        <w:rPr>
          <w:rFonts w:ascii="Arial" w:eastAsia="Meiryo UI" w:hAnsi="Arial" w:cs="Arial"/>
          <w:b/>
          <w:bCs/>
          <w:color w:val="000000" w:themeColor="text1"/>
          <w:szCs w:val="20"/>
          <w:u w:val="single"/>
          <w:lang w:val="en-GB"/>
        </w:rPr>
        <w:t>Plānotās PENTAX darbības</w:t>
      </w:r>
    </w:p>
    <w:p w14:paraId="00EE6374" w14:textId="77777777" w:rsidR="00160E15" w:rsidRPr="00DF52A4" w:rsidRDefault="00160E15" w:rsidP="00160E15">
      <w:pPr>
        <w:jc w:val="both"/>
        <w:rPr>
          <w:rFonts w:ascii="Arial" w:eastAsia="Meiryo UI" w:hAnsi="Arial" w:cs="Arial"/>
          <w:color w:val="000000" w:themeColor="text1"/>
          <w:szCs w:val="20"/>
          <w:lang w:val="en-GB"/>
        </w:rPr>
      </w:pPr>
    </w:p>
    <w:p w14:paraId="6801AA44" w14:textId="7547854F" w:rsidR="00387828" w:rsidRPr="00DF52A4" w:rsidRDefault="00387828" w:rsidP="00387828">
      <w:pPr>
        <w:rPr>
          <w:rFonts w:ascii="Arial" w:eastAsia="Meiryo UI" w:hAnsi="Arial" w:cs="Arial"/>
          <w:color w:val="000000" w:themeColor="text1"/>
          <w:szCs w:val="20"/>
          <w:lang w:val="en-GB"/>
        </w:rPr>
      </w:pPr>
      <w:r w:rsidRPr="003F75A5">
        <w:rPr>
          <w:rFonts w:ascii="Arial" w:eastAsia="Meiryo UI" w:hAnsi="Arial" w:cs="Arial"/>
          <w:color w:val="000000" w:themeColor="text1"/>
          <w:szCs w:val="20"/>
          <w:lang w:val="en-GB"/>
        </w:rPr>
        <w:t>Kā daļu no šīs operatīvās koriģējošās drošuma darbības (Field Safety Corrective Action — FSCA) PENTAX 2025. gada martā plāno programmatūras atjauninājumu, kas samazinās EPK-i8020c gaismas intensitāti iepriekš aprakstītajās situācijās un novērsīs šīs problēmas rašanos. Kad sagatavošanas darbi būs pabeigti, mēs sazināsimies ar Jums atsevišķi, lai sniegtu informāciju par atjauninājuma laiku.</w:t>
      </w:r>
    </w:p>
    <w:p w14:paraId="037E5A8F" w14:textId="77777777" w:rsidR="00160E15" w:rsidRPr="00DF52A4" w:rsidRDefault="00160E15" w:rsidP="00160E15">
      <w:pPr>
        <w:jc w:val="both"/>
        <w:rPr>
          <w:rFonts w:ascii="Arial" w:eastAsia="Meiryo UI" w:hAnsi="Arial" w:cs="Arial"/>
          <w:color w:val="000000" w:themeColor="text1"/>
          <w:szCs w:val="20"/>
          <w:lang w:val="en-GB"/>
        </w:rPr>
      </w:pPr>
    </w:p>
    <w:p w14:paraId="2164CDF5" w14:textId="77777777" w:rsidR="00160E15" w:rsidRPr="00DF52A4" w:rsidRDefault="00160E15" w:rsidP="00160E15">
      <w:pPr>
        <w:widowControl w:val="0"/>
        <w:autoSpaceDE w:val="0"/>
        <w:autoSpaceDN w:val="0"/>
        <w:adjustRightInd w:val="0"/>
        <w:snapToGrid w:val="0"/>
        <w:spacing w:before="60" w:after="60" w:line="288" w:lineRule="auto"/>
        <w:rPr>
          <w:rFonts w:ascii="Arial" w:eastAsia="Calibri" w:hAnsi="Arial" w:cs="Arial"/>
          <w:bCs/>
          <w:noProof/>
          <w:szCs w:val="18"/>
          <w:u w:color="424448"/>
          <w:lang w:val="en-GB"/>
        </w:rPr>
      </w:pPr>
      <w:r w:rsidRPr="003F75A5">
        <w:rPr>
          <w:rFonts w:ascii="Arial" w:eastAsia="Calibri" w:hAnsi="Arial" w:cs="Arial"/>
          <w:bCs/>
          <w:noProof/>
          <w:szCs w:val="18"/>
          <w:u w:color="424448"/>
          <w:lang w:val="en-GB"/>
        </w:rPr>
        <w:t>Kontaktinformācija:</w:t>
      </w:r>
    </w:p>
    <w:p w14:paraId="333DF7B6" w14:textId="77777777" w:rsidR="00160E15" w:rsidRPr="00DF52A4" w:rsidRDefault="00160E15" w:rsidP="00160E15">
      <w:pPr>
        <w:widowControl w:val="0"/>
        <w:autoSpaceDE w:val="0"/>
        <w:autoSpaceDN w:val="0"/>
        <w:adjustRightInd w:val="0"/>
        <w:snapToGrid w:val="0"/>
        <w:spacing w:before="60" w:after="60" w:line="288" w:lineRule="auto"/>
        <w:rPr>
          <w:rFonts w:ascii="Arial" w:eastAsia="Calibri" w:hAnsi="Arial" w:cs="Arial"/>
          <w:bCs/>
          <w:noProof/>
          <w:szCs w:val="18"/>
          <w:u w:color="424448"/>
          <w:lang w:val="en-GB"/>
        </w:rPr>
      </w:pPr>
      <w:r w:rsidRPr="003F75A5">
        <w:rPr>
          <w:rFonts w:ascii="Arial" w:eastAsia="Calibri" w:hAnsi="Arial" w:cs="Arial"/>
          <w:bCs/>
          <w:noProof/>
          <w:szCs w:val="18"/>
          <w:u w:color="424448"/>
          <w:lang w:val="en-GB"/>
        </w:rPr>
        <w:t>Ja Jums ir radušies kādi jautājumi par šo operatīvo koriģējošo drošuma darbību, lūdzu, sazinieties ar vietējo PENTAX Medical pārstāvi, izmantojot šādu kontaktinformāciju:</w:t>
      </w:r>
    </w:p>
    <w:p w14:paraId="6B54D46F" w14:textId="77777777" w:rsidR="00160E15" w:rsidRPr="00DF52A4" w:rsidRDefault="00160E15" w:rsidP="00160E15">
      <w:pPr>
        <w:widowControl w:val="0"/>
        <w:autoSpaceDE w:val="0"/>
        <w:autoSpaceDN w:val="0"/>
        <w:adjustRightInd w:val="0"/>
        <w:snapToGrid w:val="0"/>
        <w:spacing w:before="60" w:after="60" w:line="288" w:lineRule="auto"/>
        <w:rPr>
          <w:rFonts w:ascii="Arial" w:eastAsia="Calibri" w:hAnsi="Arial" w:cs="Arial"/>
          <w:bCs/>
          <w:noProof/>
          <w:szCs w:val="18"/>
          <w:u w:color="424448"/>
          <w:lang w:val="en-GB"/>
        </w:rPr>
      </w:pPr>
    </w:p>
    <w:p w14:paraId="3066A5EE" w14:textId="77777777" w:rsidR="00160E15" w:rsidRPr="00DF52A4" w:rsidRDefault="00160E15" w:rsidP="00160E15">
      <w:pPr>
        <w:widowControl w:val="0"/>
        <w:autoSpaceDE w:val="0"/>
        <w:autoSpaceDN w:val="0"/>
        <w:adjustRightInd w:val="0"/>
        <w:snapToGrid w:val="0"/>
        <w:spacing w:before="60" w:after="60" w:line="288" w:lineRule="auto"/>
        <w:jc w:val="both"/>
        <w:rPr>
          <w:rFonts w:ascii="Arial" w:eastAsia="Calibri" w:hAnsi="Arial" w:cs="Arial"/>
          <w:bCs/>
          <w:noProof/>
          <w:szCs w:val="18"/>
          <w:highlight w:val="yellow"/>
          <w:u w:color="424448"/>
          <w:lang w:val="en-GB"/>
        </w:rPr>
      </w:pPr>
      <w:r w:rsidRPr="003F75A5">
        <w:rPr>
          <w:rFonts w:ascii="Arial" w:eastAsia="Calibri" w:hAnsi="Arial" w:cs="Arial"/>
          <w:bCs/>
          <w:noProof/>
          <w:szCs w:val="18"/>
          <w:highlight w:val="yellow"/>
          <w:u w:color="424448"/>
          <w:lang w:val="en-GB"/>
        </w:rPr>
        <w:t xml:space="preserve">Tālr. </w:t>
      </w:r>
    </w:p>
    <w:p w14:paraId="6CF85BD2" w14:textId="77777777" w:rsidR="00160E15" w:rsidRPr="00DF52A4" w:rsidRDefault="00160E15" w:rsidP="00160E15">
      <w:pPr>
        <w:widowControl w:val="0"/>
        <w:autoSpaceDE w:val="0"/>
        <w:autoSpaceDN w:val="0"/>
        <w:adjustRightInd w:val="0"/>
        <w:snapToGrid w:val="0"/>
        <w:spacing w:before="60" w:after="60" w:line="288" w:lineRule="auto"/>
        <w:jc w:val="both"/>
        <w:rPr>
          <w:rFonts w:ascii="Arial" w:eastAsia="Calibri" w:hAnsi="Arial" w:cs="Arial"/>
          <w:bCs/>
          <w:noProof/>
          <w:szCs w:val="18"/>
          <w:u w:color="424448"/>
          <w:lang w:val="en-GB"/>
        </w:rPr>
      </w:pPr>
      <w:r w:rsidRPr="003F75A5">
        <w:rPr>
          <w:rFonts w:ascii="Arial" w:eastAsia="Calibri" w:hAnsi="Arial" w:cs="Arial"/>
          <w:bCs/>
          <w:noProof/>
          <w:szCs w:val="18"/>
          <w:highlight w:val="yellow"/>
          <w:u w:color="424448"/>
          <w:lang w:val="en-GB"/>
        </w:rPr>
        <w:t>E-pasts:</w:t>
      </w:r>
      <w:r w:rsidRPr="003F75A5">
        <w:rPr>
          <w:rFonts w:ascii="Arial" w:eastAsia="Calibri" w:hAnsi="Arial" w:cs="Arial"/>
          <w:bCs/>
          <w:noProof/>
          <w:szCs w:val="18"/>
          <w:u w:color="424448"/>
          <w:lang w:val="en-GB"/>
        </w:rPr>
        <w:t xml:space="preserve"> </w:t>
      </w:r>
    </w:p>
    <w:p w14:paraId="0EE7889E" w14:textId="77777777" w:rsidR="00160E15" w:rsidRPr="00DF52A4" w:rsidRDefault="00160E15" w:rsidP="00160E15">
      <w:pPr>
        <w:widowControl w:val="0"/>
        <w:autoSpaceDE w:val="0"/>
        <w:autoSpaceDN w:val="0"/>
        <w:adjustRightInd w:val="0"/>
        <w:snapToGrid w:val="0"/>
        <w:spacing w:before="60" w:after="60" w:line="288" w:lineRule="auto"/>
        <w:jc w:val="both"/>
        <w:rPr>
          <w:rFonts w:ascii="Arial" w:eastAsia="Calibri" w:hAnsi="Arial" w:cs="Arial"/>
          <w:bCs/>
          <w:noProof/>
          <w:szCs w:val="18"/>
          <w:u w:color="424448"/>
          <w:lang w:val="en-GB"/>
        </w:rPr>
      </w:pPr>
    </w:p>
    <w:p w14:paraId="6370DCA7" w14:textId="77777777" w:rsidR="00160E15" w:rsidRPr="00DF52A4" w:rsidRDefault="00160E15" w:rsidP="00160E15">
      <w:pPr>
        <w:widowControl w:val="0"/>
        <w:autoSpaceDE w:val="0"/>
        <w:autoSpaceDN w:val="0"/>
        <w:adjustRightInd w:val="0"/>
        <w:snapToGrid w:val="0"/>
        <w:spacing w:before="60" w:after="60" w:line="288" w:lineRule="auto"/>
        <w:jc w:val="both"/>
        <w:rPr>
          <w:rFonts w:ascii="Arial" w:eastAsia="Calibri" w:hAnsi="Arial" w:cs="Arial"/>
          <w:bCs/>
          <w:noProof/>
          <w:szCs w:val="18"/>
          <w:u w:color="424448"/>
          <w:lang w:val="en-GB"/>
        </w:rPr>
      </w:pPr>
      <w:r w:rsidRPr="003F75A5">
        <w:rPr>
          <w:rFonts w:ascii="Arial" w:eastAsia="Calibri" w:hAnsi="Arial" w:cs="Arial"/>
          <w:bCs/>
          <w:noProof/>
          <w:szCs w:val="18"/>
          <w:u w:color="424448"/>
          <w:lang w:val="en-GB"/>
        </w:rPr>
        <w:t>Ar cieņu</w:t>
      </w:r>
    </w:p>
    <w:p w14:paraId="7BCDE8E7" w14:textId="77777777" w:rsidR="00160E15" w:rsidRPr="00DF52A4" w:rsidRDefault="00160E15" w:rsidP="00160E15">
      <w:pPr>
        <w:widowControl w:val="0"/>
        <w:autoSpaceDE w:val="0"/>
        <w:autoSpaceDN w:val="0"/>
        <w:adjustRightInd w:val="0"/>
        <w:snapToGrid w:val="0"/>
        <w:spacing w:before="60" w:after="60" w:line="288" w:lineRule="auto"/>
        <w:jc w:val="both"/>
        <w:rPr>
          <w:rFonts w:ascii="Arial" w:eastAsia="Calibri" w:hAnsi="Arial" w:cs="Arial"/>
          <w:bCs/>
          <w:noProof/>
          <w:szCs w:val="18"/>
          <w:u w:color="424448"/>
          <w:lang w:val="en-GB"/>
        </w:rPr>
      </w:pPr>
      <w:r w:rsidRPr="003F75A5">
        <w:rPr>
          <w:rFonts w:ascii="Arial" w:eastAsia="Calibri" w:hAnsi="Arial" w:cs="Arial"/>
          <w:bCs/>
          <w:noProof/>
          <w:szCs w:val="18"/>
          <w:u w:color="424448"/>
          <w:lang w:val="en-GB"/>
        </w:rPr>
        <w:t>PENTAX Europe GmbH</w:t>
      </w:r>
    </w:p>
    <w:p w14:paraId="0CF132D1" w14:textId="77777777" w:rsidR="00160E15" w:rsidRPr="00DF52A4" w:rsidRDefault="00160E15" w:rsidP="00160E15">
      <w:pPr>
        <w:widowControl w:val="0"/>
        <w:autoSpaceDE w:val="0"/>
        <w:autoSpaceDN w:val="0"/>
        <w:adjustRightInd w:val="0"/>
        <w:snapToGrid w:val="0"/>
        <w:spacing w:before="60" w:after="60" w:line="288" w:lineRule="auto"/>
        <w:jc w:val="both"/>
        <w:rPr>
          <w:rFonts w:ascii="Arial" w:eastAsia="Calibri" w:hAnsi="Arial" w:cs="Arial"/>
          <w:bCs/>
          <w:noProof/>
          <w:szCs w:val="18"/>
          <w:u w:color="424448"/>
          <w:lang w:val="en-GB"/>
        </w:rPr>
      </w:pPr>
    </w:p>
    <w:p w14:paraId="256CD7E3" w14:textId="32CD66E5" w:rsidR="00160E15" w:rsidRPr="00DF52A4" w:rsidRDefault="00160E15" w:rsidP="00160E15">
      <w:pPr>
        <w:widowControl w:val="0"/>
        <w:autoSpaceDE w:val="0"/>
        <w:autoSpaceDN w:val="0"/>
        <w:adjustRightInd w:val="0"/>
        <w:snapToGrid w:val="0"/>
        <w:spacing w:before="60" w:after="60" w:line="288" w:lineRule="auto"/>
        <w:jc w:val="both"/>
        <w:rPr>
          <w:rFonts w:ascii="Arial" w:eastAsia="Calibri" w:hAnsi="Arial" w:cs="Arial"/>
          <w:bCs/>
          <w:noProof/>
          <w:szCs w:val="18"/>
          <w:u w:color="424448"/>
          <w:lang w:val="en-GB"/>
        </w:rPr>
      </w:pPr>
      <w:r w:rsidRPr="003F75A5">
        <w:rPr>
          <w:rFonts w:ascii="Arial" w:eastAsia="Calibri" w:hAnsi="Arial" w:cs="Arial"/>
          <w:bCs/>
          <w:noProof/>
          <w:szCs w:val="18"/>
          <w:u w:color="424448"/>
          <w:lang w:val="en-GB"/>
        </w:rPr>
        <w:t>Dr. Stephan Lunau</w:t>
      </w:r>
    </w:p>
    <w:p w14:paraId="5A96B172" w14:textId="77777777" w:rsidR="00160E15" w:rsidRPr="00DF52A4" w:rsidRDefault="00160E15" w:rsidP="00160E15">
      <w:pPr>
        <w:rPr>
          <w:lang w:val="en-US"/>
        </w:rPr>
      </w:pPr>
      <w:r w:rsidRPr="003F75A5">
        <w:rPr>
          <w:lang w:val="en-GB"/>
        </w:rPr>
        <w:t>QARA</w:t>
      </w:r>
    </w:p>
    <w:p w14:paraId="62225427" w14:textId="77777777" w:rsidR="00160E15" w:rsidRPr="00DF52A4" w:rsidRDefault="00160E15" w:rsidP="00160E15">
      <w:pPr>
        <w:rPr>
          <w:lang w:val="en-US"/>
        </w:rPr>
      </w:pPr>
      <w:r w:rsidRPr="003F75A5">
        <w:rPr>
          <w:lang w:val="en-GB"/>
        </w:rPr>
        <w:t>Leader RA EMEA</w:t>
      </w:r>
    </w:p>
    <w:p w14:paraId="5A035207" w14:textId="77777777" w:rsidR="00160E15" w:rsidRPr="00DF52A4" w:rsidRDefault="00160E15" w:rsidP="00160E15">
      <w:pPr>
        <w:rPr>
          <w:lang w:val="en-US"/>
        </w:rPr>
      </w:pPr>
      <w:r w:rsidRPr="003F75A5">
        <w:rPr>
          <w:lang w:val="en-US"/>
        </w:rPr>
        <w:t>Par regulatīvo atbilstību atbildīgā persona (EU-MDR, 15. pants)</w:t>
      </w:r>
    </w:p>
    <w:p w14:paraId="5A2B41C0" w14:textId="77777777" w:rsidR="00160E15" w:rsidRPr="00DF52A4" w:rsidRDefault="00160E15" w:rsidP="00160E15">
      <w:pPr>
        <w:jc w:val="both"/>
        <w:rPr>
          <w:rFonts w:ascii="Arial" w:eastAsia="Meiryo UI" w:hAnsi="Arial" w:cs="Arial"/>
          <w:b/>
          <w:bCs/>
          <w:color w:val="000000" w:themeColor="text1"/>
          <w:szCs w:val="20"/>
          <w:u w:val="single"/>
          <w:lang w:val="en-US"/>
        </w:rPr>
      </w:pPr>
    </w:p>
    <w:p w14:paraId="488641D5" w14:textId="77777777" w:rsidR="00160E15" w:rsidRPr="00DF52A4" w:rsidRDefault="00160E15" w:rsidP="00160E15">
      <w:pPr>
        <w:jc w:val="both"/>
        <w:rPr>
          <w:rFonts w:ascii="Arial" w:eastAsia="Meiryo UI" w:hAnsi="Arial" w:cs="Arial"/>
          <w:b/>
          <w:bCs/>
          <w:color w:val="000000" w:themeColor="text1"/>
          <w:szCs w:val="20"/>
          <w:u w:val="single"/>
          <w:lang w:val="en-GB"/>
        </w:rPr>
      </w:pPr>
    </w:p>
    <w:p w14:paraId="61987579" w14:textId="77777777" w:rsidR="00160E15" w:rsidRPr="00DF52A4" w:rsidRDefault="00160E15" w:rsidP="00160E15">
      <w:pPr>
        <w:jc w:val="both"/>
        <w:rPr>
          <w:rFonts w:ascii="Arial" w:eastAsia="Meiryo UI" w:hAnsi="Arial" w:cs="Arial"/>
          <w:b/>
          <w:bCs/>
          <w:color w:val="000000" w:themeColor="text1"/>
          <w:szCs w:val="20"/>
          <w:u w:val="single"/>
          <w:lang w:val="en-GB"/>
        </w:rPr>
      </w:pPr>
    </w:p>
    <w:p w14:paraId="30DF8EC8" w14:textId="66809104" w:rsidR="00160E15" w:rsidRPr="00DF52A4" w:rsidRDefault="00160E15" w:rsidP="00160E15">
      <w:pPr>
        <w:jc w:val="both"/>
        <w:rPr>
          <w:rFonts w:ascii="Arial" w:eastAsia="Meiryo UI" w:hAnsi="Arial" w:cs="Arial"/>
          <w:b/>
          <w:bCs/>
          <w:color w:val="000000" w:themeColor="text1"/>
          <w:szCs w:val="20"/>
          <w:u w:val="single"/>
          <w:lang w:val="en-GB"/>
        </w:rPr>
      </w:pPr>
      <w:r w:rsidRPr="003F75A5">
        <w:rPr>
          <w:rFonts w:ascii="Arial" w:eastAsia="Meiryo UI" w:hAnsi="Arial" w:cs="Arial"/>
          <w:b/>
          <w:bCs/>
          <w:color w:val="000000" w:themeColor="text1"/>
          <w:szCs w:val="20"/>
          <w:u w:val="single"/>
          <w:lang w:val="en-US"/>
        </w:rPr>
        <w:t xml:space="preserve">Lietošanas instrukcijas </w:t>
      </w:r>
      <w:r w:rsidRPr="003F75A5">
        <w:rPr>
          <w:rFonts w:ascii="Arial" w:eastAsia="Meiryo UI" w:hAnsi="Arial" w:cs="Arial"/>
          <w:b/>
          <w:bCs/>
          <w:i/>
          <w:iCs/>
          <w:color w:val="000000" w:themeColor="text1"/>
          <w:szCs w:val="20"/>
          <w:u w:val="single"/>
          <w:lang w:val="en-US"/>
        </w:rPr>
        <w:t>LABOJUMI</w:t>
      </w:r>
    </w:p>
    <w:p w14:paraId="0B7550BF" w14:textId="77777777" w:rsidR="00160E15" w:rsidRPr="00DF52A4" w:rsidRDefault="00160E15" w:rsidP="00160E15">
      <w:pPr>
        <w:jc w:val="both"/>
        <w:rPr>
          <w:rFonts w:ascii="Arial" w:eastAsia="Meiryo UI" w:hAnsi="Arial" w:cs="Arial"/>
          <w:b/>
          <w:bCs/>
          <w:color w:val="000000" w:themeColor="text1"/>
          <w:szCs w:val="20"/>
          <w:u w:val="single"/>
          <w:lang w:val="en-GB"/>
        </w:rPr>
      </w:pPr>
    </w:p>
    <w:p w14:paraId="2EA76ACE" w14:textId="6A9C45C5" w:rsidR="00160E15" w:rsidRPr="00DF52A4" w:rsidRDefault="008E3166" w:rsidP="00160E15">
      <w:pPr>
        <w:jc w:val="both"/>
        <w:rPr>
          <w:rFonts w:ascii="Arial" w:eastAsia="Meiryo UI" w:hAnsi="Arial" w:cs="Arial"/>
          <w:color w:val="000000" w:themeColor="text1"/>
          <w:szCs w:val="20"/>
          <w:lang w:val="en-GB"/>
        </w:rPr>
      </w:pPr>
      <w:r w:rsidRPr="003F75A5">
        <w:rPr>
          <w:rFonts w:ascii="Arial" w:eastAsia="Meiryo UI" w:hAnsi="Arial" w:cs="Arial"/>
          <w:color w:val="000000" w:themeColor="text1"/>
          <w:szCs w:val="20"/>
          <w:lang w:val="en-GB"/>
        </w:rPr>
        <w:t>Lūdzu, skatīt nākamās lapas</w:t>
      </w:r>
    </w:p>
    <w:p w14:paraId="1D26A28C" w14:textId="77777777" w:rsidR="00CD0374" w:rsidRPr="00DF52A4" w:rsidRDefault="00CD0374" w:rsidP="00160E15">
      <w:pPr>
        <w:rPr>
          <w:rFonts w:ascii="Arial" w:eastAsia="Meiryo UI" w:hAnsi="Arial" w:cs="Arial"/>
          <w:b/>
          <w:bCs/>
          <w:szCs w:val="20"/>
          <w:lang w:val="en-GB"/>
        </w:rPr>
      </w:pPr>
    </w:p>
    <w:p w14:paraId="350E4520" w14:textId="77777777" w:rsidR="003E6C5C" w:rsidRPr="00DF52A4" w:rsidRDefault="003E6C5C" w:rsidP="00160E15">
      <w:pPr>
        <w:rPr>
          <w:rFonts w:ascii="Arial" w:eastAsia="Meiryo UI" w:hAnsi="Arial" w:cs="Arial"/>
          <w:b/>
          <w:bCs/>
          <w:szCs w:val="20"/>
          <w:lang w:val="en-GB"/>
        </w:rPr>
      </w:pPr>
    </w:p>
    <w:p w14:paraId="3E35B01C" w14:textId="77777777" w:rsidR="00CD0374" w:rsidRPr="00DF52A4" w:rsidRDefault="00CD0374" w:rsidP="00160E15">
      <w:pPr>
        <w:rPr>
          <w:rFonts w:ascii="Arial" w:eastAsia="Meiryo UI" w:hAnsi="Arial" w:cs="Arial"/>
          <w:b/>
          <w:bCs/>
          <w:szCs w:val="20"/>
          <w:lang w:val="en-GB"/>
        </w:rPr>
      </w:pPr>
    </w:p>
    <w:p w14:paraId="4528F939" w14:textId="77777777" w:rsidR="00CD0374" w:rsidRPr="00DF52A4" w:rsidRDefault="00CD0374" w:rsidP="00160E15">
      <w:pPr>
        <w:rPr>
          <w:rFonts w:ascii="Arial" w:eastAsia="Meiryo UI" w:hAnsi="Arial" w:cs="Arial"/>
          <w:b/>
          <w:bCs/>
          <w:szCs w:val="20"/>
          <w:lang w:val="en-GB"/>
        </w:rPr>
      </w:pPr>
    </w:p>
    <w:p w14:paraId="7543848F" w14:textId="77777777" w:rsidR="00CD0374" w:rsidRPr="00DF52A4" w:rsidRDefault="00CD0374" w:rsidP="00160E15">
      <w:pPr>
        <w:rPr>
          <w:rFonts w:ascii="Arial" w:eastAsia="Meiryo UI" w:hAnsi="Arial" w:cs="Arial"/>
          <w:b/>
          <w:bCs/>
          <w:szCs w:val="20"/>
          <w:lang w:val="en-GB"/>
        </w:rPr>
      </w:pPr>
    </w:p>
    <w:p w14:paraId="78F208D3" w14:textId="77777777" w:rsidR="00CD0374" w:rsidRPr="00DF52A4" w:rsidRDefault="00CD0374" w:rsidP="00160E15">
      <w:pPr>
        <w:rPr>
          <w:rFonts w:ascii="Arial" w:eastAsia="Meiryo UI" w:hAnsi="Arial" w:cs="Arial"/>
          <w:b/>
          <w:bCs/>
          <w:szCs w:val="20"/>
          <w:lang w:val="en-GB"/>
        </w:rPr>
      </w:pPr>
    </w:p>
    <w:p w14:paraId="393A208C" w14:textId="77777777" w:rsidR="00CD0374" w:rsidRPr="00DF52A4" w:rsidRDefault="00CD0374" w:rsidP="00160E15">
      <w:pPr>
        <w:rPr>
          <w:rFonts w:ascii="Arial" w:eastAsia="Meiryo UI" w:hAnsi="Arial" w:cs="Arial"/>
          <w:b/>
          <w:bCs/>
          <w:szCs w:val="20"/>
          <w:lang w:val="en-GB"/>
        </w:rPr>
      </w:pPr>
    </w:p>
    <w:p w14:paraId="39068FFC" w14:textId="05FF79CC" w:rsidR="00160E15" w:rsidRPr="00DF52A4" w:rsidRDefault="00160E15" w:rsidP="00160E15">
      <w:pPr>
        <w:rPr>
          <w:rFonts w:ascii="Arial" w:eastAsia="Meiryo UI" w:hAnsi="Arial" w:cs="Arial"/>
          <w:b/>
          <w:bCs/>
          <w:sz w:val="24"/>
          <w:szCs w:val="24"/>
          <w:lang w:val="en-GB"/>
        </w:rPr>
      </w:pPr>
      <w:r w:rsidRPr="003F75A5">
        <w:rPr>
          <w:rFonts w:ascii="Arial" w:eastAsia="Meiryo UI" w:hAnsi="Arial" w:cs="Arial"/>
          <w:b/>
          <w:bCs/>
          <w:sz w:val="24"/>
          <w:szCs w:val="24"/>
          <w:lang w:val="en-GB"/>
        </w:rPr>
        <w:t>EPK-i8020c</w:t>
      </w:r>
    </w:p>
    <w:p w14:paraId="63271B10" w14:textId="77777777" w:rsidR="007923DD" w:rsidRPr="00DF52A4" w:rsidRDefault="007923DD" w:rsidP="00160E15">
      <w:pPr>
        <w:rPr>
          <w:rFonts w:ascii="Arial" w:eastAsia="Meiryo UI" w:hAnsi="Arial" w:cs="Arial"/>
          <w:b/>
          <w:bCs/>
          <w:szCs w:val="20"/>
          <w:lang w:val="en-GB"/>
        </w:rPr>
      </w:pPr>
    </w:p>
    <w:p w14:paraId="7FD074FA" w14:textId="77777777" w:rsidR="00CD0374" w:rsidRPr="00DF52A4" w:rsidRDefault="00CD0374" w:rsidP="00CD0374">
      <w:pPr>
        <w:spacing w:after="160" w:line="278" w:lineRule="auto"/>
        <w:jc w:val="both"/>
        <w:rPr>
          <w:b/>
          <w:bCs/>
          <w:u w:val="single"/>
          <w:lang w:val="en-GB"/>
        </w:rPr>
      </w:pPr>
      <w:r w:rsidRPr="003F75A5">
        <w:rPr>
          <w:b/>
          <w:bCs/>
          <w:u w:val="single"/>
          <w:lang w:val="en-GB"/>
        </w:rPr>
        <w:t>6. Lietošanas norādījumi</w:t>
      </w:r>
    </w:p>
    <w:p w14:paraId="7B24A8E2" w14:textId="77777777" w:rsidR="00CD0374" w:rsidRPr="00DF52A4" w:rsidRDefault="00CD0374" w:rsidP="00CD0374">
      <w:pPr>
        <w:spacing w:after="160" w:line="278" w:lineRule="auto"/>
        <w:jc w:val="both"/>
        <w:rPr>
          <w:b/>
          <w:bCs/>
          <w:lang w:val="en-GB"/>
        </w:rPr>
      </w:pPr>
      <w:r w:rsidRPr="003F75A5">
        <w:rPr>
          <w:b/>
          <w:bCs/>
          <w:lang w:val="en-GB"/>
        </w:rPr>
        <w:t>UZMANĪBU!</w:t>
      </w:r>
    </w:p>
    <w:p w14:paraId="486FCEED" w14:textId="77777777" w:rsidR="00CD0374" w:rsidRPr="00DF52A4" w:rsidRDefault="00CD0374" w:rsidP="00CD0374">
      <w:pPr>
        <w:spacing w:after="160" w:line="278" w:lineRule="auto"/>
        <w:jc w:val="both"/>
        <w:rPr>
          <w:lang w:val="en-GB"/>
        </w:rPr>
      </w:pPr>
      <w:r w:rsidRPr="003F75A5">
        <w:rPr>
          <w:lang w:val="en-GB"/>
        </w:rPr>
        <w:t>• Ja rodas jebkādi skārienekrāna darbības traucējumi, izslēdziet video procesoru un pēc aptuveni 1 minūtes ieslēdziet. Ja problēma neizzūd, sazinieties ar vietējo PENTAX Medical servisa iestādi.</w:t>
      </w:r>
    </w:p>
    <w:p w14:paraId="04623870" w14:textId="77777777" w:rsidR="00CD0374" w:rsidRPr="00DF52A4" w:rsidRDefault="00CD0374" w:rsidP="00CD0374">
      <w:pPr>
        <w:spacing w:after="160" w:line="278" w:lineRule="auto"/>
        <w:jc w:val="both"/>
        <w:rPr>
          <w:lang w:val="en-GB"/>
        </w:rPr>
      </w:pPr>
      <w:r w:rsidRPr="003F75A5">
        <w:rPr>
          <w:lang w:val="en-GB"/>
        </w:rPr>
        <w:t>• Ja augstas intensitātes gaisma tiek izstarota ilgu laika periodu, endoskopa distālais gals var sakarst. Lai nepieļautu apdeguma traumas, NEDRĪKST pieskarties endoskopa distālajam galam, ja ir ieslēgta spuldze.</w:t>
      </w:r>
    </w:p>
    <w:p w14:paraId="471BC81A" w14:textId="77777777" w:rsidR="00CD0374" w:rsidRPr="00DF52A4" w:rsidRDefault="00CD0374" w:rsidP="00CD0374">
      <w:pPr>
        <w:spacing w:after="160" w:line="278" w:lineRule="auto"/>
        <w:jc w:val="both"/>
        <w:rPr>
          <w:i/>
          <w:iCs/>
          <w:lang w:val="en-GB"/>
        </w:rPr>
      </w:pPr>
      <w:r w:rsidRPr="003F75A5">
        <w:rPr>
          <w:i/>
          <w:iCs/>
          <w:lang w:val="en-GB"/>
        </w:rPr>
        <w:t>• NELIETOJIET OE (Optical Enhancement — optiskais pastiprinājums) režīmu, ja pastāv asiņošana, piemēram, hematemēze vai hematohēzija, vai ja endoskopiskās izmeklēšanas vai procedūras laikā konstatēta izteikta asiņošana, lai novērstu koagulēto asiņu ātru pielipšanu endoskopa distālajā galā izvietotajam gaismas vadam (apgaismošanas daļa) izstarotās gaismas dēļ. Pretējā gadījumā koagulētā un pielipušā pacienta materiāla dēļ var palielināties distālā gala temperatūra, kas var izraisīt apdegumu pacientam un/vai lietotājam.</w:t>
      </w:r>
    </w:p>
    <w:p w14:paraId="0FD855C1" w14:textId="77777777" w:rsidR="00CD0374" w:rsidRPr="00DF52A4" w:rsidRDefault="00CD0374" w:rsidP="00CD0374">
      <w:pPr>
        <w:spacing w:after="160" w:line="278" w:lineRule="auto"/>
        <w:jc w:val="both"/>
        <w:rPr>
          <w:b/>
          <w:bCs/>
          <w:u w:val="single"/>
          <w:lang w:val="en-GB"/>
        </w:rPr>
      </w:pPr>
      <w:r w:rsidRPr="003F75A5">
        <w:rPr>
          <w:b/>
          <w:bCs/>
          <w:u w:val="single"/>
          <w:lang w:val="en-GB"/>
        </w:rPr>
        <w:t>6-7-10. OE (optiskais pastiprinājums)</w:t>
      </w:r>
    </w:p>
    <w:p w14:paraId="795E8B73" w14:textId="77777777" w:rsidR="00CD0374" w:rsidRPr="00DF52A4" w:rsidRDefault="00CD0374" w:rsidP="00CD0374">
      <w:pPr>
        <w:spacing w:after="160" w:line="278" w:lineRule="auto"/>
        <w:jc w:val="both"/>
        <w:rPr>
          <w:lang w:val="en-GB"/>
        </w:rPr>
      </w:pPr>
      <w:r w:rsidRPr="003F75A5">
        <w:rPr>
          <w:lang w:val="en-GB"/>
        </w:rPr>
        <w:t>OE (optiskais pastiprinājums) sniedz alternatīvas metodes gļotādas virsmas asinsvadu redzamības uzlabošanai (izceļ gļotādas mikroasinsvadus un smalkas gļotādas struktūras), izmantojot ierobežotas joslas gaismas avotu.</w:t>
      </w:r>
    </w:p>
    <w:p w14:paraId="3B18BFC7" w14:textId="77777777" w:rsidR="00CD0374" w:rsidRPr="003F75A5" w:rsidRDefault="00CD0374" w:rsidP="00CD0374">
      <w:pPr>
        <w:spacing w:after="160" w:line="278" w:lineRule="auto"/>
        <w:jc w:val="both"/>
        <w:rPr>
          <w:lang w:val="fr-FR"/>
        </w:rPr>
      </w:pPr>
      <w:r w:rsidRPr="003F75A5">
        <w:rPr>
          <w:lang w:val="fr-FR"/>
        </w:rPr>
        <w:t>Šai funkcijai ir divi režīmi — [Mode1] (1. režīms) un [Mode2] (2. režīms).</w:t>
      </w:r>
    </w:p>
    <w:p w14:paraId="3F81F8A7" w14:textId="77777777" w:rsidR="00CD0374" w:rsidRPr="003F75A5" w:rsidRDefault="00CD0374" w:rsidP="00CD0374">
      <w:pPr>
        <w:spacing w:after="160" w:line="278" w:lineRule="auto"/>
        <w:jc w:val="both"/>
        <w:rPr>
          <w:lang w:val="fr-FR"/>
        </w:rPr>
      </w:pPr>
      <w:r w:rsidRPr="003F75A5">
        <w:rPr>
          <w:lang w:val="fr-FR"/>
        </w:rPr>
        <w:t>OE apraksts</w:t>
      </w:r>
    </w:p>
    <w:p w14:paraId="782D03D1" w14:textId="77777777" w:rsidR="00CD0374" w:rsidRPr="003F75A5" w:rsidRDefault="00CD0374" w:rsidP="00CD0374">
      <w:pPr>
        <w:spacing w:after="160" w:line="278" w:lineRule="auto"/>
        <w:jc w:val="both"/>
        <w:rPr>
          <w:lang w:val="fr-FR"/>
        </w:rPr>
      </w:pPr>
      <w:r w:rsidRPr="003F75A5">
        <w:rPr>
          <w:lang w:val="fr-FR"/>
        </w:rPr>
        <w:t>OE [Mode1] (1. režīms) attēlā izceļ asinsvadus un smalkās gļotādas struktūras.</w:t>
      </w:r>
    </w:p>
    <w:p w14:paraId="71F8715E" w14:textId="77777777" w:rsidR="00CD0374" w:rsidRPr="003F75A5" w:rsidRDefault="00CD0374" w:rsidP="00CD0374">
      <w:pPr>
        <w:spacing w:after="160" w:line="278" w:lineRule="auto"/>
        <w:jc w:val="both"/>
        <w:rPr>
          <w:lang w:val="fr-FR"/>
        </w:rPr>
      </w:pPr>
      <w:r w:rsidRPr="003F75A5">
        <w:rPr>
          <w:lang w:val="fr-FR"/>
        </w:rPr>
        <w:t>OE [Mode2] (2. režīms) attēlā izceļ asinsvadus un smalkās gļotādas struktūras baltās gaismas attēla tuvumā.</w:t>
      </w:r>
    </w:p>
    <w:p w14:paraId="63221A82" w14:textId="77777777" w:rsidR="00CD0374" w:rsidRPr="003F75A5" w:rsidRDefault="00CD0374" w:rsidP="00CD0374">
      <w:pPr>
        <w:spacing w:after="160" w:line="278" w:lineRule="auto"/>
        <w:jc w:val="both"/>
        <w:rPr>
          <w:b/>
          <w:bCs/>
          <w:lang w:val="fr-FR"/>
        </w:rPr>
      </w:pPr>
      <w:r w:rsidRPr="003F75A5">
        <w:rPr>
          <w:b/>
          <w:bCs/>
          <w:lang w:val="fr-FR"/>
        </w:rPr>
        <w:t>UZMANĪBU!</w:t>
      </w:r>
    </w:p>
    <w:p w14:paraId="2E5FD4B4" w14:textId="77777777" w:rsidR="00CD0374" w:rsidRPr="003F75A5" w:rsidRDefault="00CD0374" w:rsidP="00CD0374">
      <w:pPr>
        <w:spacing w:after="160" w:line="278" w:lineRule="auto"/>
        <w:jc w:val="both"/>
        <w:rPr>
          <w:i/>
          <w:iCs/>
          <w:lang w:val="fr-FR"/>
        </w:rPr>
      </w:pPr>
      <w:r w:rsidRPr="003F75A5">
        <w:rPr>
          <w:i/>
          <w:iCs/>
          <w:lang w:val="fr-FR"/>
        </w:rPr>
        <w:t>NELIETOJIET OE (Optical Enhancement — optiskais pastiprinājums) režīmu, ja pastāv asiņošana, piemēram, hematemēze vai hematohēzija, vai ja endoskopiskās izmeklēšanas vai procedūras laikā konstatēta izteikta asiņošana, lai novērstu koagulēto asiņu ātru pielipšanu endoskopa distālajā galā izvietotajam gaismas vadam (apgaismošanas daļa) izstarotās gaismas dēļ. Pretējā gadījumā koagulētā un pielipušā pacienta materiāla dēļ var palielināties distālā gala temperatūra, kas var izraisīt apdegumu pacientam un/vai lietotājam.</w:t>
      </w:r>
    </w:p>
    <w:p w14:paraId="6440509B" w14:textId="77777777" w:rsidR="00B3298D" w:rsidRPr="003F75A5" w:rsidRDefault="00B3298D" w:rsidP="00B3298D">
      <w:pPr>
        <w:rPr>
          <w:rFonts w:ascii="Meiryo UI" w:eastAsia="Meiryo UI" w:hAnsi="Meiryo UI"/>
          <w:b/>
          <w:bCs/>
          <w:szCs w:val="20"/>
          <w:lang w:val="fr-FR"/>
        </w:rPr>
      </w:pPr>
    </w:p>
    <w:p w14:paraId="351EC72F" w14:textId="77777777" w:rsidR="00B3298D" w:rsidRPr="003F75A5" w:rsidRDefault="00B3298D" w:rsidP="00B3298D">
      <w:pPr>
        <w:rPr>
          <w:rFonts w:ascii="Meiryo UI" w:eastAsia="Meiryo UI" w:hAnsi="Meiryo UI"/>
          <w:b/>
          <w:bCs/>
          <w:szCs w:val="20"/>
          <w:lang w:val="fr-FR"/>
        </w:rPr>
      </w:pPr>
    </w:p>
    <w:p w14:paraId="493219E4" w14:textId="77777777" w:rsidR="00B3298D" w:rsidRPr="003F75A5" w:rsidRDefault="00B3298D" w:rsidP="00B3298D">
      <w:pPr>
        <w:rPr>
          <w:rFonts w:ascii="Meiryo UI" w:eastAsia="Meiryo UI" w:hAnsi="Meiryo UI"/>
          <w:b/>
          <w:bCs/>
          <w:szCs w:val="20"/>
          <w:lang w:val="fr-FR"/>
        </w:rPr>
      </w:pPr>
    </w:p>
    <w:p w14:paraId="12050224" w14:textId="77777777" w:rsidR="00B3298D" w:rsidRPr="003F75A5" w:rsidRDefault="00B3298D" w:rsidP="00B3298D">
      <w:pPr>
        <w:rPr>
          <w:rFonts w:ascii="Meiryo UI" w:eastAsia="Meiryo UI" w:hAnsi="Meiryo UI"/>
          <w:b/>
          <w:bCs/>
          <w:szCs w:val="20"/>
          <w:lang w:val="fr-FR"/>
        </w:rPr>
      </w:pPr>
    </w:p>
    <w:p w14:paraId="775F9B3D" w14:textId="77777777" w:rsidR="00B3298D" w:rsidRPr="003F75A5" w:rsidRDefault="00B3298D" w:rsidP="00B3298D">
      <w:pPr>
        <w:rPr>
          <w:rFonts w:ascii="Meiryo UI" w:eastAsia="Meiryo UI" w:hAnsi="Meiryo UI"/>
          <w:b/>
          <w:bCs/>
          <w:szCs w:val="20"/>
          <w:lang w:val="fr-FR"/>
        </w:rPr>
      </w:pPr>
    </w:p>
    <w:p w14:paraId="2C20B506" w14:textId="77777777" w:rsidR="00B3298D" w:rsidRPr="003F75A5" w:rsidRDefault="00B3298D" w:rsidP="00B3298D">
      <w:pPr>
        <w:rPr>
          <w:rFonts w:ascii="Meiryo UI" w:eastAsia="Meiryo UI" w:hAnsi="Meiryo UI"/>
          <w:b/>
          <w:bCs/>
          <w:szCs w:val="20"/>
          <w:lang w:val="fr-FR"/>
        </w:rPr>
      </w:pPr>
    </w:p>
    <w:p w14:paraId="4AD0C88E" w14:textId="77777777" w:rsidR="00B3298D" w:rsidRPr="003F75A5" w:rsidRDefault="00B3298D" w:rsidP="00B3298D">
      <w:pPr>
        <w:rPr>
          <w:rFonts w:ascii="Meiryo UI" w:eastAsia="Meiryo UI" w:hAnsi="Meiryo UI"/>
          <w:b/>
          <w:bCs/>
          <w:szCs w:val="20"/>
          <w:lang w:val="fr-FR"/>
        </w:rPr>
      </w:pPr>
    </w:p>
    <w:p w14:paraId="2245DD87" w14:textId="77777777" w:rsidR="00B3298D" w:rsidRPr="003F75A5" w:rsidRDefault="00B3298D" w:rsidP="00B3298D">
      <w:pPr>
        <w:rPr>
          <w:rFonts w:ascii="Meiryo UI" w:eastAsia="Meiryo UI" w:hAnsi="Meiryo UI"/>
          <w:b/>
          <w:bCs/>
          <w:szCs w:val="20"/>
          <w:lang w:val="fr-FR"/>
        </w:rPr>
      </w:pPr>
    </w:p>
    <w:p w14:paraId="3DB309D8" w14:textId="77777777" w:rsidR="00B3298D" w:rsidRPr="003F75A5" w:rsidRDefault="00B3298D" w:rsidP="00B3298D">
      <w:pPr>
        <w:rPr>
          <w:rFonts w:ascii="Meiryo UI" w:eastAsia="Meiryo UI" w:hAnsi="Meiryo UI"/>
          <w:b/>
          <w:bCs/>
          <w:szCs w:val="20"/>
          <w:lang w:val="fr-FR"/>
        </w:rPr>
      </w:pPr>
    </w:p>
    <w:p w14:paraId="232D4622" w14:textId="6D5053FD" w:rsidR="00B3298D" w:rsidRPr="00DF52A4" w:rsidRDefault="00160E15" w:rsidP="00B3298D">
      <w:pPr>
        <w:rPr>
          <w:rFonts w:ascii="Meiryo UI" w:eastAsia="Meiryo UI" w:hAnsi="Meiryo UI"/>
          <w:b/>
          <w:bCs/>
          <w:sz w:val="24"/>
          <w:szCs w:val="24"/>
          <w:lang w:val="da-DK"/>
        </w:rPr>
      </w:pPr>
      <w:r w:rsidRPr="003F75A5">
        <w:rPr>
          <w:rFonts w:ascii="Meiryo UI" w:eastAsia="Meiryo UI" w:hAnsi="Meiryo UI"/>
          <w:b/>
          <w:bCs/>
          <w:sz w:val="24"/>
          <w:szCs w:val="24"/>
          <w:lang w:val="da-DK"/>
        </w:rPr>
        <w:t>EG27-i20c / EG29-i20c / EC34-i20c / EC38-i20c</w:t>
      </w:r>
    </w:p>
    <w:p w14:paraId="711B9BBA" w14:textId="1AE8437F" w:rsidR="00160E15" w:rsidRPr="00DF52A4" w:rsidRDefault="00160E15" w:rsidP="00B3298D">
      <w:pPr>
        <w:rPr>
          <w:rFonts w:ascii="Meiryo UI" w:eastAsia="Meiryo UI" w:hAnsi="Meiryo UI"/>
          <w:b/>
          <w:bCs/>
          <w:szCs w:val="20"/>
          <w:lang w:val="da-DK"/>
        </w:rPr>
      </w:pPr>
    </w:p>
    <w:p w14:paraId="5CE25539" w14:textId="77777777" w:rsidR="00B3298D" w:rsidRPr="003F75A5" w:rsidRDefault="00B3298D" w:rsidP="00B3298D">
      <w:pPr>
        <w:jc w:val="both"/>
        <w:rPr>
          <w:b/>
          <w:bCs/>
          <w:u w:val="single"/>
          <w:lang w:val="da-DK"/>
        </w:rPr>
      </w:pPr>
      <w:r w:rsidRPr="003F75A5">
        <w:rPr>
          <w:b/>
          <w:bCs/>
          <w:u w:val="single"/>
          <w:lang w:val="da-DK"/>
        </w:rPr>
        <w:t>5. Lietošanas norādījumi</w:t>
      </w:r>
    </w:p>
    <w:p w14:paraId="2CA42E2C" w14:textId="77777777" w:rsidR="00B3298D" w:rsidRPr="003F75A5" w:rsidRDefault="00B3298D" w:rsidP="00B3298D">
      <w:pPr>
        <w:spacing w:after="160" w:line="278" w:lineRule="auto"/>
        <w:jc w:val="both"/>
        <w:rPr>
          <w:b/>
          <w:bCs/>
          <w:lang w:val="da-DK"/>
        </w:rPr>
      </w:pPr>
    </w:p>
    <w:p w14:paraId="71EC5C9F" w14:textId="08B1EB7F" w:rsidR="00B3298D" w:rsidRPr="003F75A5" w:rsidRDefault="00B3298D" w:rsidP="00B3298D">
      <w:pPr>
        <w:spacing w:after="160" w:line="278" w:lineRule="auto"/>
        <w:jc w:val="both"/>
        <w:rPr>
          <w:b/>
          <w:bCs/>
          <w:lang w:val="da-DK"/>
        </w:rPr>
      </w:pPr>
      <w:r w:rsidRPr="003F75A5">
        <w:rPr>
          <w:b/>
          <w:bCs/>
          <w:lang w:val="da-DK"/>
        </w:rPr>
        <w:t>UZMANĪBU!</w:t>
      </w:r>
    </w:p>
    <w:p w14:paraId="13AA35B4" w14:textId="77777777" w:rsidR="00B3298D" w:rsidRPr="003F75A5" w:rsidRDefault="00B3298D" w:rsidP="00B3298D">
      <w:pPr>
        <w:spacing w:after="160" w:line="278" w:lineRule="auto"/>
        <w:jc w:val="both"/>
        <w:rPr>
          <w:lang w:val="da-DK"/>
        </w:rPr>
      </w:pPr>
      <w:r w:rsidRPr="003F75A5">
        <w:rPr>
          <w:lang w:val="da-DK"/>
        </w:rPr>
        <w:t>• Lietotājiem un apkalpojošajam personālam vienmēr jālieto individuālie aizsardzības līdzekļi (piemēram, cimdi, aizsargbrilles, maskas, medicīniskie halāti utt.), lai mazinātu inficēšanās risku, kas var rasties, pacienta ķermeņa šķidrumam no endoskopa sastāvdaļām, piemēram, instrumentu kanāla ieejas atveres un atsūkšanas vārstuļa, izplatoties apkārtējā vidē.</w:t>
      </w:r>
    </w:p>
    <w:p w14:paraId="03DAEA46" w14:textId="77777777" w:rsidR="00B3298D" w:rsidRPr="003F75A5" w:rsidRDefault="00B3298D" w:rsidP="00B3298D">
      <w:pPr>
        <w:spacing w:after="160" w:line="278" w:lineRule="auto"/>
        <w:jc w:val="both"/>
        <w:rPr>
          <w:lang w:val="da-DK"/>
        </w:rPr>
      </w:pPr>
      <w:r w:rsidRPr="003F75A5">
        <w:rPr>
          <w:lang w:val="da-DK"/>
        </w:rPr>
        <w:t>• NELIETOJIET OE (Optical Enhancement — optiskais pastiprinājums) režīmu, ja pastāv asiņošana, piemēram, hematemēze, vai ja endoskopiskās izmeklēšanas vai procedūras laikā konstatēta izteikta asiņošana, lai novērstu koagulēto asiņu ātru pielipšanu gaismas vadam izstarotās gaismas dēļ. Izmantojiet parasto apskates režīmu un iestatiet pēc iespējas mazāku spilgtumu. Pretējā gadījumā var palielināties distālā gala temperatūra koagulētā un pielipušā pacienta materiāla dēļ.</w:t>
      </w:r>
    </w:p>
    <w:p w14:paraId="005A3588" w14:textId="77777777" w:rsidR="00B3298D" w:rsidRPr="003F75A5" w:rsidRDefault="00B3298D" w:rsidP="00B3298D">
      <w:pPr>
        <w:spacing w:after="160" w:line="278" w:lineRule="auto"/>
        <w:jc w:val="both"/>
        <w:rPr>
          <w:i/>
          <w:iCs/>
          <w:lang w:val="da-DK"/>
        </w:rPr>
      </w:pPr>
      <w:r w:rsidRPr="003F75A5">
        <w:rPr>
          <w:i/>
          <w:iCs/>
          <w:lang w:val="da-DK"/>
        </w:rPr>
        <w:t>• NELIETOJIET endoskopu un nekavējoties izņemiet to no pacienta, turot pietiekamā attālumā no gļotādas, ja pastāv aizdomas par pielipušu pacienta materiālu (piem., asinīm, citiem ķermeņa šķidrumiem) un redzamas attēla izmaiņas, piemēram, apskates attēls ir sarkanīgs vai tumšāks nekā parasti.</w:t>
      </w:r>
    </w:p>
    <w:p w14:paraId="1FC45B6E" w14:textId="77777777" w:rsidR="00B3298D" w:rsidRPr="003F75A5" w:rsidRDefault="00B3298D" w:rsidP="00B3298D">
      <w:pPr>
        <w:spacing w:after="160" w:line="278" w:lineRule="auto"/>
        <w:jc w:val="both"/>
        <w:rPr>
          <w:i/>
          <w:iCs/>
          <w:lang w:val="da-DK"/>
        </w:rPr>
      </w:pPr>
      <w:r w:rsidRPr="003F75A5">
        <w:rPr>
          <w:i/>
          <w:iCs/>
          <w:lang w:val="da-DK"/>
        </w:rPr>
        <w:t>Pēc endoskopa izņemšanas izslēdziet video procesora spuldzi. Ja tiek izmantots distālais uzgalis, noņemiet to un pārbaudiet endoskopa distālo galu — noņemiet pielipušo pacienta materiālu un pirms atkārtotas lietošanas pārliecinieties, ka gaismas vads nav bojāts. Pretējā gadījumā var paaugstināties distālā gala temperatūra, kas var traumēt pacienta gļotādu.</w:t>
      </w:r>
    </w:p>
    <w:p w14:paraId="4AF44734" w14:textId="77777777" w:rsidR="00B3298D" w:rsidRPr="003F75A5" w:rsidRDefault="00B3298D" w:rsidP="00B3298D">
      <w:pPr>
        <w:spacing w:after="160" w:line="278" w:lineRule="auto"/>
        <w:jc w:val="both"/>
        <w:rPr>
          <w:i/>
          <w:iCs/>
          <w:lang w:val="da-DK"/>
        </w:rPr>
      </w:pPr>
      <w:r w:rsidRPr="003F75A5">
        <w:rPr>
          <w:i/>
          <w:iCs/>
          <w:lang w:val="da-DK"/>
        </w:rPr>
        <w:t>• Atsūkšanas vajadzībām izmantojiet zemāko nepieciešamo spiedienu. NEVEICIET atsūkšanu no gļotādām ilglaicīgi. Pretējā gadījumā pastāv pacienta traumatisma risks.</w:t>
      </w:r>
    </w:p>
    <w:p w14:paraId="185C7F9E" w14:textId="77777777" w:rsidR="00B3298D" w:rsidRPr="003F75A5" w:rsidRDefault="00B3298D" w:rsidP="00B3298D">
      <w:pPr>
        <w:spacing w:after="160" w:line="278" w:lineRule="auto"/>
        <w:jc w:val="both"/>
        <w:rPr>
          <w:i/>
          <w:iCs/>
          <w:lang w:val="da-DK"/>
        </w:rPr>
      </w:pPr>
      <w:r w:rsidRPr="003F75A5">
        <w:rPr>
          <w:i/>
          <w:iCs/>
          <w:lang w:val="da-DK"/>
        </w:rPr>
        <w:t>• Ja tiek piemērots pārmērīgs spēks, piemēram, instrumentu kanālā ievadīts ūdens, kamēr ieejas atveres blīvē ir ievietota endoskopijas ierīce, tas var izraisīt atsūkšanas vārstuļa atdalīšanos un iespējamu pacienta ķermeņa šķidrumu refluksu vai izplatīšanos.</w:t>
      </w:r>
    </w:p>
    <w:p w14:paraId="2F988F31" w14:textId="77777777" w:rsidR="00B3298D" w:rsidRPr="003F75A5" w:rsidRDefault="00B3298D" w:rsidP="00B3298D">
      <w:pPr>
        <w:spacing w:after="160" w:line="278" w:lineRule="auto"/>
        <w:jc w:val="both"/>
        <w:rPr>
          <w:i/>
          <w:iCs/>
          <w:lang w:val="da-DK"/>
        </w:rPr>
      </w:pPr>
      <w:r w:rsidRPr="003F75A5">
        <w:rPr>
          <w:i/>
          <w:iCs/>
          <w:lang w:val="da-DK"/>
        </w:rPr>
        <w:t>• NEVELCIET padeves vadu pārāk spēcīgi un NEPAKĻAUJIET to triecieniem, piemēram, ar priekšmetiem vai roku sitot pa endoskopa savienotāju. Pretējā gadījumā endoskopiskie attēli var īslaicīgi pazust. Ja parādās jebkādas attēla neatbilstības, vēlreiz pievienojiet endoskopa savienotāju video procesoram.</w:t>
      </w:r>
    </w:p>
    <w:p w14:paraId="70D72860" w14:textId="6D4827C8" w:rsidR="00673988" w:rsidRPr="003F75A5" w:rsidRDefault="00B3298D" w:rsidP="00B3298D">
      <w:pPr>
        <w:spacing w:after="160" w:line="278" w:lineRule="auto"/>
        <w:jc w:val="both"/>
        <w:rPr>
          <w:i/>
          <w:iCs/>
          <w:lang w:val="da-DK"/>
        </w:rPr>
      </w:pPr>
      <w:r w:rsidRPr="003F75A5">
        <w:rPr>
          <w:i/>
          <w:iCs/>
          <w:lang w:val="da-DK"/>
        </w:rPr>
        <w:t>• Izmantojot šo endoskopu un virzot to tuvāk priekšmetiem, gaisma mainās no nepārtrauktas uz mirgojošu. Lai izvairītos no mirgojošas gaismas, NENOVIETOJIET distālo galu apkārt esošo priekšmetu tuvumā, kad endoskops ir izņemts no pacienta. Lai mazinātu mirgojošās gaismas radīto redzes kairinājumu baltā līdzsvara noteikšanas laikā vai pirms endoskopa ievadīšanas, ieslēdziet istabas apgaismojumu spilgtāku, nekā nepieciešams, un NESKATIETIES tieši uz izstaroto gaismu.</w:t>
      </w:r>
    </w:p>
    <w:sectPr w:rsidR="00673988" w:rsidRPr="003F75A5" w:rsidSect="00160E15">
      <w:headerReference w:type="default" r:id="rId10"/>
      <w:footerReference w:type="default" r:id="rId11"/>
      <w:headerReference w:type="first" r:id="rId12"/>
      <w:footerReference w:type="first" r:id="rId13"/>
      <w:pgSz w:w="11906" w:h="16838" w:code="9"/>
      <w:pgMar w:top="1560" w:right="1077" w:bottom="1701" w:left="1418" w:header="16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FA1C0" w14:textId="77777777" w:rsidR="00650361" w:rsidRDefault="00650361" w:rsidP="00DF560B">
      <w:pPr>
        <w:spacing w:line="240" w:lineRule="auto"/>
      </w:pPr>
      <w:r>
        <w:separator/>
      </w:r>
    </w:p>
  </w:endnote>
  <w:endnote w:type="continuationSeparator" w:id="0">
    <w:p w14:paraId="6F506F02" w14:textId="77777777" w:rsidR="00650361" w:rsidRDefault="00650361" w:rsidP="00DF5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 Inspira">
    <w:altName w:val="Calibri"/>
    <w:charset w:val="00"/>
    <w:family w:val="swiss"/>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eiryo UI">
    <w:altName w:val="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C81C8" w14:textId="77777777" w:rsidR="005A7C59" w:rsidRDefault="005A7C59">
    <w:pPr>
      <w:pStyle w:val="Footer"/>
    </w:pPr>
    <w:r>
      <w:fldChar w:fldCharType="begin"/>
    </w:r>
    <w:r>
      <w:rPr>
        <w:noProof/>
      </w:rPr>
      <w:instrText xml:space="preserve"> page </w:instrText>
    </w:r>
    <w:r>
      <w:fldChar w:fldCharType="separate"/>
    </w:r>
    <w:r>
      <w:rPr>
        <w:noProof/>
      </w:rPr>
      <w:t>2</w:t>
    </w:r>
    <w:r>
      <w:fldChar w:fldCharType="end"/>
    </w:r>
    <w:r>
      <w:t>. lpp.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158ACE0A" w14:paraId="4F3AD8F6" w14:textId="77777777" w:rsidTr="158ACE0A">
      <w:trPr>
        <w:trHeight w:val="300"/>
      </w:trPr>
      <w:tc>
        <w:tcPr>
          <w:tcW w:w="3135" w:type="dxa"/>
        </w:tcPr>
        <w:p w14:paraId="41B15FF0" w14:textId="77777777" w:rsidR="158ACE0A" w:rsidRDefault="158ACE0A" w:rsidP="158ACE0A">
          <w:pPr>
            <w:pStyle w:val="Header"/>
            <w:ind w:left="-115"/>
          </w:pPr>
        </w:p>
      </w:tc>
      <w:tc>
        <w:tcPr>
          <w:tcW w:w="3135" w:type="dxa"/>
        </w:tcPr>
        <w:p w14:paraId="4CBA4C15" w14:textId="77777777" w:rsidR="158ACE0A" w:rsidRDefault="158ACE0A" w:rsidP="158ACE0A">
          <w:pPr>
            <w:pStyle w:val="Header"/>
            <w:jc w:val="center"/>
          </w:pPr>
        </w:p>
      </w:tc>
      <w:tc>
        <w:tcPr>
          <w:tcW w:w="3135" w:type="dxa"/>
        </w:tcPr>
        <w:p w14:paraId="2205AFED" w14:textId="77777777" w:rsidR="158ACE0A" w:rsidRDefault="158ACE0A" w:rsidP="158ACE0A">
          <w:pPr>
            <w:pStyle w:val="Header"/>
            <w:ind w:right="-115"/>
            <w:jc w:val="right"/>
          </w:pPr>
        </w:p>
      </w:tc>
    </w:tr>
  </w:tbl>
  <w:p w14:paraId="1FA2223F" w14:textId="77777777" w:rsidR="158ACE0A" w:rsidRDefault="158ACE0A" w:rsidP="158AC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0145D" w14:textId="77777777" w:rsidR="00650361" w:rsidRDefault="00650361" w:rsidP="00DF560B">
      <w:pPr>
        <w:spacing w:line="240" w:lineRule="auto"/>
      </w:pPr>
      <w:r>
        <w:separator/>
      </w:r>
    </w:p>
  </w:footnote>
  <w:footnote w:type="continuationSeparator" w:id="0">
    <w:p w14:paraId="66B64380" w14:textId="77777777" w:rsidR="00650361" w:rsidRDefault="00650361" w:rsidP="00DF56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E7473" w14:textId="77777777" w:rsidR="005A7C59" w:rsidRDefault="00C47A1A">
    <w:pPr>
      <w:pStyle w:val="Header"/>
    </w:pPr>
    <w:r w:rsidRPr="00C47A1A">
      <w:rPr>
        <w:noProof/>
      </w:rPr>
      <w:drawing>
        <wp:anchor distT="0" distB="0" distL="114300" distR="114300" simplePos="0" relativeHeight="251669503" behindDoc="1" locked="1" layoutInCell="1" allowOverlap="1" wp14:anchorId="53565C8E" wp14:editId="3329A122">
          <wp:simplePos x="0" y="0"/>
          <wp:positionH relativeFrom="page">
            <wp:align>left</wp:align>
          </wp:positionH>
          <wp:positionV relativeFrom="page">
            <wp:align>top</wp:align>
          </wp:positionV>
          <wp:extent cx="7560000" cy="10699065"/>
          <wp:effectExtent l="0" t="0" r="0" b="0"/>
          <wp:wrapNone/>
          <wp:docPr id="1058493703" nam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662225" name="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9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09632" w14:textId="77777777" w:rsidR="00673988" w:rsidRPr="006B61DC" w:rsidRDefault="00C47A1A" w:rsidP="006B61DC">
    <w:pPr>
      <w:pStyle w:val="Header"/>
    </w:pPr>
    <w:r w:rsidRPr="00C47A1A">
      <w:rPr>
        <w:noProof/>
      </w:rPr>
      <w:drawing>
        <wp:anchor distT="0" distB="0" distL="114300" distR="114300" simplePos="0" relativeHeight="251668479" behindDoc="1" locked="1" layoutInCell="1" allowOverlap="1" wp14:anchorId="5F175E41" wp14:editId="1E87D9B4">
          <wp:simplePos x="0" y="0"/>
          <wp:positionH relativeFrom="page">
            <wp:align>left</wp:align>
          </wp:positionH>
          <wp:positionV relativeFrom="page">
            <wp:align>top</wp:align>
          </wp:positionV>
          <wp:extent cx="7560000" cy="10684800"/>
          <wp:effectExtent l="0" t="0" r="0" b="0"/>
          <wp:wrapNone/>
          <wp:docPr id="57611919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3241" nam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8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20DA"/>
    <w:multiLevelType w:val="multilevel"/>
    <w:tmpl w:val="451CB6A8"/>
    <w:lvl w:ilvl="0">
      <w:start w:val="1"/>
      <w:numFmt w:val="decimal"/>
      <w:pStyle w:val="Numeration"/>
      <w:lvlText w:val="%1."/>
      <w:lvlJc w:val="left"/>
      <w:pPr>
        <w:ind w:left="284" w:hanging="284"/>
      </w:pPr>
      <w:rPr>
        <w:rFonts w:asciiTheme="minorHAnsi" w:hAnsiTheme="minorHAnsi" w:hint="default"/>
      </w:rPr>
    </w:lvl>
    <w:lvl w:ilvl="1">
      <w:start w:val="1"/>
      <w:numFmt w:val="lowerLetter"/>
      <w:lvlText w:val="%2)"/>
      <w:lvlJc w:val="left"/>
      <w:pPr>
        <w:ind w:left="568" w:hanging="284"/>
      </w:pPr>
      <w:rPr>
        <w:rFonts w:asciiTheme="minorHAnsi" w:hAnsiTheme="minorHAnsi" w:hint="default"/>
      </w:rPr>
    </w:lvl>
    <w:lvl w:ilvl="2">
      <w:start w:val="1"/>
      <w:numFmt w:val="lowerRoman"/>
      <w:lvlText w:val="%3)"/>
      <w:lvlJc w:val="left"/>
      <w:pPr>
        <w:ind w:left="852" w:hanging="284"/>
      </w:pPr>
      <w:rPr>
        <w:rFonts w:asciiTheme="minorHAnsi" w:hAnsiTheme="minorHAnsi" w:hint="default"/>
      </w:rPr>
    </w:lvl>
    <w:lvl w:ilvl="3">
      <w:start w:val="1"/>
      <w:numFmt w:val="bullet"/>
      <w:lvlText w:val=""/>
      <w:lvlJc w:val="left"/>
      <w:pPr>
        <w:ind w:left="1136" w:hanging="284"/>
      </w:pPr>
      <w:rPr>
        <w:rFonts w:ascii="Wingdings" w:hAnsi="Wingdings" w:hint="default"/>
        <w:color w:val="53565A" w:themeColor="accent1"/>
        <w:sz w:val="16"/>
      </w:rPr>
    </w:lvl>
    <w:lvl w:ilvl="4">
      <w:start w:val="1"/>
      <w:numFmt w:val="bullet"/>
      <w:lvlText w:val=""/>
      <w:lvlJc w:val="left"/>
      <w:pPr>
        <w:ind w:left="1420" w:hanging="284"/>
      </w:pPr>
      <w:rPr>
        <w:rFonts w:ascii="Wingdings" w:hAnsi="Wingdings" w:hint="default"/>
        <w:color w:val="53565A" w:themeColor="accent1"/>
        <w:sz w:val="15"/>
      </w:rPr>
    </w:lvl>
    <w:lvl w:ilvl="5">
      <w:start w:val="1"/>
      <w:numFmt w:val="bullet"/>
      <w:lvlText w:val="–"/>
      <w:lvlJc w:val="left"/>
      <w:pPr>
        <w:ind w:left="1704" w:hanging="284"/>
      </w:pPr>
      <w:rPr>
        <w:rFonts w:ascii="Calibri" w:hAnsi="Calibri" w:hint="default"/>
        <w:color w:val="53565A" w:themeColor="accent1"/>
      </w:rPr>
    </w:lvl>
    <w:lvl w:ilvl="6">
      <w:start w:val="1"/>
      <w:numFmt w:val="bullet"/>
      <w:lvlText w:val="–"/>
      <w:lvlJc w:val="left"/>
      <w:pPr>
        <w:ind w:left="1988" w:hanging="284"/>
      </w:pPr>
      <w:rPr>
        <w:rFonts w:ascii="Calibri" w:hAnsi="Calibri" w:hint="default"/>
        <w:color w:val="53565A" w:themeColor="accent1"/>
      </w:rPr>
    </w:lvl>
    <w:lvl w:ilvl="7">
      <w:start w:val="1"/>
      <w:numFmt w:val="bullet"/>
      <w:lvlText w:val="–"/>
      <w:lvlJc w:val="left"/>
      <w:pPr>
        <w:ind w:left="2272" w:hanging="284"/>
      </w:pPr>
      <w:rPr>
        <w:rFonts w:ascii="Calibri" w:hAnsi="Calibri" w:hint="default"/>
        <w:color w:val="53565A" w:themeColor="accent1"/>
      </w:rPr>
    </w:lvl>
    <w:lvl w:ilvl="8">
      <w:start w:val="1"/>
      <w:numFmt w:val="bullet"/>
      <w:lvlText w:val="–"/>
      <w:lvlJc w:val="left"/>
      <w:pPr>
        <w:ind w:left="2556" w:hanging="284"/>
      </w:pPr>
      <w:rPr>
        <w:rFonts w:ascii="Calibri" w:hAnsi="Calibri" w:hint="default"/>
        <w:color w:val="53565A" w:themeColor="accent1"/>
      </w:rPr>
    </w:lvl>
  </w:abstractNum>
  <w:abstractNum w:abstractNumId="1" w15:restartNumberingAfterBreak="0">
    <w:nsid w:val="1C7149E8"/>
    <w:multiLevelType w:val="multilevel"/>
    <w:tmpl w:val="D266235A"/>
    <w:lvl w:ilvl="0">
      <w:start w:val="1"/>
      <w:numFmt w:val="bullet"/>
      <w:pStyle w:val="Bullet"/>
      <w:lvlText w:val="•"/>
      <w:lvlJc w:val="left"/>
      <w:pPr>
        <w:ind w:left="284" w:hanging="284"/>
      </w:pPr>
      <w:rPr>
        <w:rFonts w:ascii="Calibri" w:hAnsi="Calibri" w:hint="default"/>
        <w:color w:val="auto"/>
        <w:sz w:val="20"/>
      </w:rPr>
    </w:lvl>
    <w:lvl w:ilvl="1">
      <w:start w:val="1"/>
      <w:numFmt w:val="bullet"/>
      <w:lvlText w:val="–"/>
      <w:lvlJc w:val="left"/>
      <w:pPr>
        <w:ind w:left="568" w:hanging="284"/>
      </w:pPr>
      <w:rPr>
        <w:rFonts w:ascii="Arial" w:hAnsi="Arial" w:hint="default"/>
        <w:color w:val="auto"/>
        <w:sz w:val="15"/>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2" w15:restartNumberingAfterBreak="0">
    <w:nsid w:val="56413F59"/>
    <w:multiLevelType w:val="hybridMultilevel"/>
    <w:tmpl w:val="36861ABE"/>
    <w:lvl w:ilvl="0" w:tplc="F6CA680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B67713C"/>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530292116">
    <w:abstractNumId w:val="1"/>
  </w:num>
  <w:num w:numId="2" w16cid:durableId="2024240414">
    <w:abstractNumId w:val="0"/>
  </w:num>
  <w:num w:numId="3" w16cid:durableId="1484278754">
    <w:abstractNumId w:val="1"/>
  </w:num>
  <w:num w:numId="4" w16cid:durableId="2017926282">
    <w:abstractNumId w:val="0"/>
  </w:num>
  <w:num w:numId="5" w16cid:durableId="68432106">
    <w:abstractNumId w:val="3"/>
  </w:num>
  <w:num w:numId="6" w16cid:durableId="857545669">
    <w:abstractNumId w:val="3"/>
  </w:num>
  <w:num w:numId="7" w16cid:durableId="691611714">
    <w:abstractNumId w:val="3"/>
  </w:num>
  <w:num w:numId="8" w16cid:durableId="1921525574">
    <w:abstractNumId w:val="3"/>
  </w:num>
  <w:num w:numId="9" w16cid:durableId="1293360848">
    <w:abstractNumId w:val="3"/>
  </w:num>
  <w:num w:numId="10" w16cid:durableId="1649213668">
    <w:abstractNumId w:val="3"/>
  </w:num>
  <w:num w:numId="11" w16cid:durableId="1257909328">
    <w:abstractNumId w:val="3"/>
  </w:num>
  <w:num w:numId="12" w16cid:durableId="661544924">
    <w:abstractNumId w:val="3"/>
  </w:num>
  <w:num w:numId="13" w16cid:durableId="1670790026">
    <w:abstractNumId w:val="3"/>
  </w:num>
  <w:num w:numId="14" w16cid:durableId="1815951868">
    <w:abstractNumId w:val="1"/>
  </w:num>
  <w:num w:numId="15" w16cid:durableId="560792813">
    <w:abstractNumId w:val="3"/>
  </w:num>
  <w:num w:numId="16" w16cid:durableId="1456412169">
    <w:abstractNumId w:val="3"/>
  </w:num>
  <w:num w:numId="17" w16cid:durableId="2011449154">
    <w:abstractNumId w:val="3"/>
  </w:num>
  <w:num w:numId="18" w16cid:durableId="1232502477">
    <w:abstractNumId w:val="3"/>
  </w:num>
  <w:num w:numId="19" w16cid:durableId="609708407">
    <w:abstractNumId w:val="3"/>
  </w:num>
  <w:num w:numId="20" w16cid:durableId="943464546">
    <w:abstractNumId w:val="3"/>
  </w:num>
  <w:num w:numId="21" w16cid:durableId="1023632577">
    <w:abstractNumId w:val="3"/>
  </w:num>
  <w:num w:numId="22" w16cid:durableId="1964532046">
    <w:abstractNumId w:val="3"/>
  </w:num>
  <w:num w:numId="23" w16cid:durableId="448470976">
    <w:abstractNumId w:val="3"/>
  </w:num>
  <w:num w:numId="24" w16cid:durableId="921648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AA"/>
    <w:rsid w:val="00007DC3"/>
    <w:rsid w:val="00037F79"/>
    <w:rsid w:val="00042917"/>
    <w:rsid w:val="00046B78"/>
    <w:rsid w:val="00056DB6"/>
    <w:rsid w:val="000E495A"/>
    <w:rsid w:val="000F1589"/>
    <w:rsid w:val="00112389"/>
    <w:rsid w:val="00132FF4"/>
    <w:rsid w:val="00137D86"/>
    <w:rsid w:val="00160E15"/>
    <w:rsid w:val="00163241"/>
    <w:rsid w:val="00166067"/>
    <w:rsid w:val="001C2BDE"/>
    <w:rsid w:val="001E1B03"/>
    <w:rsid w:val="00275B21"/>
    <w:rsid w:val="00296097"/>
    <w:rsid w:val="002B3B32"/>
    <w:rsid w:val="002F419A"/>
    <w:rsid w:val="003145CE"/>
    <w:rsid w:val="00387828"/>
    <w:rsid w:val="00390AF8"/>
    <w:rsid w:val="003B7A63"/>
    <w:rsid w:val="003E6C5C"/>
    <w:rsid w:val="003F75A5"/>
    <w:rsid w:val="00432594"/>
    <w:rsid w:val="004A782F"/>
    <w:rsid w:val="00524C68"/>
    <w:rsid w:val="005259B0"/>
    <w:rsid w:val="00560DE9"/>
    <w:rsid w:val="00590FA1"/>
    <w:rsid w:val="005A7C59"/>
    <w:rsid w:val="006117F4"/>
    <w:rsid w:val="00650361"/>
    <w:rsid w:val="00673988"/>
    <w:rsid w:val="006B61DC"/>
    <w:rsid w:val="006C01AA"/>
    <w:rsid w:val="0071214D"/>
    <w:rsid w:val="00721370"/>
    <w:rsid w:val="00731C6D"/>
    <w:rsid w:val="00770E4E"/>
    <w:rsid w:val="007923DD"/>
    <w:rsid w:val="00796119"/>
    <w:rsid w:val="007B23EC"/>
    <w:rsid w:val="007B4954"/>
    <w:rsid w:val="00815410"/>
    <w:rsid w:val="0084223D"/>
    <w:rsid w:val="00886B8D"/>
    <w:rsid w:val="008A14C6"/>
    <w:rsid w:val="008A246C"/>
    <w:rsid w:val="008A6652"/>
    <w:rsid w:val="008B5748"/>
    <w:rsid w:val="008E3166"/>
    <w:rsid w:val="00914A8B"/>
    <w:rsid w:val="00916FE5"/>
    <w:rsid w:val="00953661"/>
    <w:rsid w:val="009774D6"/>
    <w:rsid w:val="009D4200"/>
    <w:rsid w:val="009E29CD"/>
    <w:rsid w:val="00A112E7"/>
    <w:rsid w:val="00A63289"/>
    <w:rsid w:val="00A94EE3"/>
    <w:rsid w:val="00A95799"/>
    <w:rsid w:val="00B3298D"/>
    <w:rsid w:val="00BB578B"/>
    <w:rsid w:val="00C013CC"/>
    <w:rsid w:val="00C12EBA"/>
    <w:rsid w:val="00C47A1A"/>
    <w:rsid w:val="00C56258"/>
    <w:rsid w:val="00C973CD"/>
    <w:rsid w:val="00CA493B"/>
    <w:rsid w:val="00CD0374"/>
    <w:rsid w:val="00CD6DDD"/>
    <w:rsid w:val="00CF38C1"/>
    <w:rsid w:val="00CF7890"/>
    <w:rsid w:val="00CF79B8"/>
    <w:rsid w:val="00D00FBF"/>
    <w:rsid w:val="00D1438B"/>
    <w:rsid w:val="00D42A7E"/>
    <w:rsid w:val="00D46C86"/>
    <w:rsid w:val="00D6088C"/>
    <w:rsid w:val="00D645EA"/>
    <w:rsid w:val="00DB0668"/>
    <w:rsid w:val="00DB4C3E"/>
    <w:rsid w:val="00DC71AD"/>
    <w:rsid w:val="00DF52A4"/>
    <w:rsid w:val="00DF560B"/>
    <w:rsid w:val="00E6557F"/>
    <w:rsid w:val="00E7632B"/>
    <w:rsid w:val="00EC349D"/>
    <w:rsid w:val="00F06C61"/>
    <w:rsid w:val="00F67967"/>
    <w:rsid w:val="00FE5985"/>
    <w:rsid w:val="158ACE0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4E1BC"/>
  <w15:docId w15:val="{2DE5CBDC-77D4-4CDF-B81D-ECCABD38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59"/>
    <w:pPr>
      <w:spacing w:after="0"/>
    </w:pPr>
    <w:rPr>
      <w:sz w:val="20"/>
    </w:rPr>
  </w:style>
  <w:style w:type="paragraph" w:styleId="Heading1">
    <w:name w:val="heading 1"/>
    <w:basedOn w:val="Normal"/>
    <w:next w:val="Normal"/>
    <w:link w:val="Heading1Char"/>
    <w:uiPriority w:val="9"/>
    <w:qFormat/>
    <w:rsid w:val="00BB578B"/>
    <w:pPr>
      <w:keepNext/>
      <w:keepLines/>
      <w:numPr>
        <w:numId w:val="23"/>
      </w:numPr>
      <w:spacing w:before="300" w:after="100"/>
      <w:outlineLvl w:val="0"/>
    </w:pPr>
    <w:rPr>
      <w:rFonts w:asciiTheme="majorHAnsi" w:eastAsiaTheme="majorEastAsia" w:hAnsiTheme="majorHAnsi" w:cstheme="majorBidi"/>
      <w:b/>
      <w:bCs/>
      <w:color w:val="53565A" w:themeColor="accent1"/>
      <w:sz w:val="28"/>
      <w:szCs w:val="28"/>
    </w:rPr>
  </w:style>
  <w:style w:type="paragraph" w:styleId="Heading2">
    <w:name w:val="heading 2"/>
    <w:basedOn w:val="Normal"/>
    <w:next w:val="Normal"/>
    <w:link w:val="Heading2Char"/>
    <w:uiPriority w:val="9"/>
    <w:unhideWhenUsed/>
    <w:qFormat/>
    <w:rsid w:val="00BB578B"/>
    <w:pPr>
      <w:keepNext/>
      <w:keepLines/>
      <w:numPr>
        <w:ilvl w:val="1"/>
        <w:numId w:val="23"/>
      </w:numPr>
      <w:spacing w:before="300" w:after="100"/>
      <w:outlineLvl w:val="1"/>
    </w:pPr>
    <w:rPr>
      <w:rFonts w:asciiTheme="majorHAnsi" w:eastAsiaTheme="majorEastAsia" w:hAnsiTheme="majorHAnsi" w:cstheme="majorBidi"/>
      <w:b/>
      <w:bCs/>
      <w:color w:val="53565A" w:themeColor="accent1"/>
      <w:sz w:val="28"/>
      <w:szCs w:val="26"/>
    </w:rPr>
  </w:style>
  <w:style w:type="paragraph" w:styleId="Heading3">
    <w:name w:val="heading 3"/>
    <w:basedOn w:val="Normal"/>
    <w:next w:val="Normal"/>
    <w:link w:val="Heading3Char"/>
    <w:uiPriority w:val="9"/>
    <w:unhideWhenUsed/>
    <w:qFormat/>
    <w:rsid w:val="00BB578B"/>
    <w:pPr>
      <w:keepNext/>
      <w:keepLines/>
      <w:numPr>
        <w:ilvl w:val="2"/>
        <w:numId w:val="23"/>
      </w:numPr>
      <w:spacing w:before="200" w:after="60"/>
      <w:outlineLvl w:val="2"/>
    </w:pPr>
    <w:rPr>
      <w:rFonts w:asciiTheme="majorHAnsi" w:eastAsiaTheme="majorEastAsia" w:hAnsiTheme="majorHAnsi" w:cstheme="majorBidi"/>
      <w:b/>
      <w:bCs/>
      <w:color w:val="53565A" w:themeColor="accent1"/>
    </w:rPr>
  </w:style>
  <w:style w:type="paragraph" w:styleId="Heading4">
    <w:name w:val="heading 4"/>
    <w:basedOn w:val="Normal"/>
    <w:next w:val="Normal"/>
    <w:link w:val="Heading4Char"/>
    <w:uiPriority w:val="9"/>
    <w:unhideWhenUsed/>
    <w:rsid w:val="00BB578B"/>
    <w:pPr>
      <w:keepNext/>
      <w:keepLines/>
      <w:numPr>
        <w:ilvl w:val="3"/>
        <w:numId w:val="23"/>
      </w:numPr>
      <w:spacing w:before="200" w:after="60"/>
      <w:outlineLvl w:val="3"/>
    </w:pPr>
    <w:rPr>
      <w:rFonts w:asciiTheme="majorHAnsi" w:eastAsiaTheme="majorEastAsia" w:hAnsiTheme="majorHAnsi" w:cstheme="majorBidi"/>
      <w:b/>
      <w:bCs/>
      <w:iCs/>
      <w:color w:val="53565A" w:themeColor="accent1"/>
    </w:rPr>
  </w:style>
  <w:style w:type="paragraph" w:styleId="Heading5">
    <w:name w:val="heading 5"/>
    <w:basedOn w:val="Normal"/>
    <w:next w:val="Normal"/>
    <w:link w:val="Heading5Char"/>
    <w:uiPriority w:val="9"/>
    <w:unhideWhenUsed/>
    <w:rsid w:val="00BB578B"/>
    <w:pPr>
      <w:keepNext/>
      <w:keepLines/>
      <w:numPr>
        <w:ilvl w:val="4"/>
        <w:numId w:val="23"/>
      </w:numPr>
      <w:spacing w:before="200" w:after="60"/>
      <w:outlineLvl w:val="4"/>
    </w:pPr>
    <w:rPr>
      <w:rFonts w:asciiTheme="majorHAnsi" w:eastAsiaTheme="majorEastAsia" w:hAnsiTheme="majorHAnsi" w:cstheme="majorBidi"/>
      <w:b/>
      <w:color w:val="53565A" w:themeColor="accent1"/>
    </w:rPr>
  </w:style>
  <w:style w:type="paragraph" w:styleId="Heading6">
    <w:name w:val="heading 6"/>
    <w:basedOn w:val="Normal"/>
    <w:next w:val="Normal"/>
    <w:link w:val="Heading6Char"/>
    <w:uiPriority w:val="9"/>
    <w:unhideWhenUsed/>
    <w:rsid w:val="00BB578B"/>
    <w:pPr>
      <w:keepNext/>
      <w:keepLines/>
      <w:numPr>
        <w:ilvl w:val="5"/>
        <w:numId w:val="23"/>
      </w:numPr>
      <w:spacing w:before="200" w:after="60"/>
      <w:outlineLvl w:val="5"/>
    </w:pPr>
    <w:rPr>
      <w:rFonts w:asciiTheme="majorHAnsi" w:eastAsiaTheme="majorEastAsia" w:hAnsiTheme="majorHAnsi" w:cstheme="majorBidi"/>
      <w:b/>
      <w:iCs/>
      <w:color w:val="53565A" w:themeColor="accent1"/>
    </w:rPr>
  </w:style>
  <w:style w:type="paragraph" w:styleId="Heading7">
    <w:name w:val="heading 7"/>
    <w:basedOn w:val="Normal"/>
    <w:next w:val="Normal"/>
    <w:link w:val="Heading7Char"/>
    <w:uiPriority w:val="9"/>
    <w:unhideWhenUsed/>
    <w:rsid w:val="00BB578B"/>
    <w:pPr>
      <w:keepNext/>
      <w:keepLines/>
      <w:numPr>
        <w:ilvl w:val="6"/>
        <w:numId w:val="23"/>
      </w:numPr>
      <w:spacing w:before="200" w:after="60"/>
      <w:outlineLvl w:val="6"/>
    </w:pPr>
    <w:rPr>
      <w:rFonts w:asciiTheme="majorHAnsi" w:eastAsiaTheme="majorEastAsia" w:hAnsiTheme="majorHAnsi" w:cstheme="majorBidi"/>
      <w:b/>
      <w:iCs/>
      <w:color w:val="404040" w:themeColor="text1" w:themeTint="BF"/>
    </w:rPr>
  </w:style>
  <w:style w:type="paragraph" w:styleId="Heading8">
    <w:name w:val="heading 8"/>
    <w:basedOn w:val="Normal"/>
    <w:next w:val="Normal"/>
    <w:link w:val="Heading8Char"/>
    <w:uiPriority w:val="9"/>
    <w:unhideWhenUsed/>
    <w:rsid w:val="00BB578B"/>
    <w:pPr>
      <w:keepNext/>
      <w:keepLines/>
      <w:numPr>
        <w:ilvl w:val="7"/>
        <w:numId w:val="23"/>
      </w:numPr>
      <w:spacing w:before="200" w:after="60"/>
      <w:outlineLvl w:val="7"/>
    </w:pPr>
    <w:rPr>
      <w:rFonts w:asciiTheme="majorHAnsi" w:eastAsiaTheme="majorEastAsia" w:hAnsiTheme="majorHAnsi" w:cstheme="majorBidi"/>
      <w:b/>
      <w:color w:val="404040" w:themeColor="text1" w:themeTint="BF"/>
      <w:szCs w:val="20"/>
    </w:rPr>
  </w:style>
  <w:style w:type="paragraph" w:styleId="Heading9">
    <w:name w:val="heading 9"/>
    <w:basedOn w:val="Normal"/>
    <w:next w:val="Normal"/>
    <w:link w:val="Heading9Char"/>
    <w:uiPriority w:val="9"/>
    <w:unhideWhenUsed/>
    <w:rsid w:val="00BB578B"/>
    <w:pPr>
      <w:keepNext/>
      <w:keepLines/>
      <w:numPr>
        <w:ilvl w:val="8"/>
        <w:numId w:val="23"/>
      </w:numPr>
      <w:spacing w:before="200" w:after="60"/>
      <w:outlineLvl w:val="8"/>
    </w:pPr>
    <w:rPr>
      <w:rFonts w:asciiTheme="majorHAnsi" w:eastAsiaTheme="majorEastAsia" w:hAnsiTheme="majorHAnsi" w:cstheme="majorBidi"/>
      <w:b/>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78B"/>
    <w:rPr>
      <w:rFonts w:asciiTheme="majorHAnsi" w:eastAsiaTheme="majorEastAsia" w:hAnsiTheme="majorHAnsi" w:cstheme="majorBidi"/>
      <w:b/>
      <w:bCs/>
      <w:color w:val="53565A" w:themeColor="accent1"/>
      <w:sz w:val="28"/>
      <w:szCs w:val="28"/>
    </w:rPr>
  </w:style>
  <w:style w:type="paragraph" w:customStyle="1" w:styleId="Bullet">
    <w:name w:val="Bullet"/>
    <w:basedOn w:val="Normal"/>
    <w:qFormat/>
    <w:rsid w:val="00BB578B"/>
    <w:pPr>
      <w:numPr>
        <w:numId w:val="14"/>
      </w:numPr>
      <w:contextualSpacing/>
    </w:pPr>
    <w:rPr>
      <w:rFonts w:ascii="Arial" w:hAnsi="Arial"/>
    </w:rPr>
  </w:style>
  <w:style w:type="paragraph" w:customStyle="1" w:styleId="Numeration">
    <w:name w:val="Numeration"/>
    <w:basedOn w:val="Normal"/>
    <w:qFormat/>
    <w:rsid w:val="005A7C59"/>
    <w:pPr>
      <w:numPr>
        <w:numId w:val="4"/>
      </w:numPr>
      <w:contextualSpacing/>
    </w:pPr>
    <w:rPr>
      <w:rFonts w:ascii="Arial" w:hAnsi="Arial"/>
    </w:rPr>
  </w:style>
  <w:style w:type="character" w:customStyle="1" w:styleId="Heading2Char">
    <w:name w:val="Heading 2 Char"/>
    <w:basedOn w:val="DefaultParagraphFont"/>
    <w:link w:val="Heading2"/>
    <w:uiPriority w:val="9"/>
    <w:rsid w:val="00BB578B"/>
    <w:rPr>
      <w:rFonts w:asciiTheme="majorHAnsi" w:eastAsiaTheme="majorEastAsia" w:hAnsiTheme="majorHAnsi" w:cstheme="majorBidi"/>
      <w:b/>
      <w:bCs/>
      <w:color w:val="53565A" w:themeColor="accent1"/>
      <w:sz w:val="28"/>
      <w:szCs w:val="26"/>
    </w:rPr>
  </w:style>
  <w:style w:type="paragraph" w:styleId="Header">
    <w:name w:val="header"/>
    <w:basedOn w:val="Normal"/>
    <w:link w:val="HeaderChar"/>
    <w:uiPriority w:val="99"/>
    <w:unhideWhenUsed/>
    <w:rsid w:val="00DF560B"/>
    <w:pPr>
      <w:tabs>
        <w:tab w:val="center" w:pos="4536"/>
        <w:tab w:val="right" w:pos="9072"/>
      </w:tabs>
      <w:spacing w:line="240" w:lineRule="auto"/>
    </w:pPr>
    <w:rPr>
      <w:sz w:val="15"/>
    </w:rPr>
  </w:style>
  <w:style w:type="character" w:customStyle="1" w:styleId="HeaderChar">
    <w:name w:val="Header Char"/>
    <w:basedOn w:val="DefaultParagraphFont"/>
    <w:link w:val="Header"/>
    <w:uiPriority w:val="99"/>
    <w:rsid w:val="00DF560B"/>
    <w:rPr>
      <w:sz w:val="15"/>
    </w:rPr>
  </w:style>
  <w:style w:type="paragraph" w:styleId="Footer">
    <w:name w:val="footer"/>
    <w:basedOn w:val="Normal"/>
    <w:link w:val="FooterChar"/>
    <w:uiPriority w:val="99"/>
    <w:unhideWhenUsed/>
    <w:rsid w:val="005A7C59"/>
    <w:pPr>
      <w:tabs>
        <w:tab w:val="center" w:pos="4876"/>
        <w:tab w:val="right" w:pos="9752"/>
      </w:tabs>
      <w:spacing w:line="240" w:lineRule="auto"/>
      <w:jc w:val="right"/>
    </w:pPr>
    <w:rPr>
      <w:sz w:val="16"/>
    </w:rPr>
  </w:style>
  <w:style w:type="character" w:customStyle="1" w:styleId="FooterChar">
    <w:name w:val="Footer Char"/>
    <w:basedOn w:val="DefaultParagraphFont"/>
    <w:link w:val="Footer"/>
    <w:uiPriority w:val="99"/>
    <w:rsid w:val="005A7C59"/>
    <w:rPr>
      <w:sz w:val="16"/>
    </w:rPr>
  </w:style>
  <w:style w:type="table" w:styleId="TableGrid">
    <w:name w:val="Table Grid"/>
    <w:basedOn w:val="TableNormal"/>
    <w:uiPriority w:val="59"/>
    <w:rsid w:val="00DF5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56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60B"/>
    <w:rPr>
      <w:rFonts w:ascii="Tahoma" w:hAnsi="Tahoma" w:cs="Tahoma"/>
      <w:sz w:val="16"/>
      <w:szCs w:val="16"/>
    </w:rPr>
  </w:style>
  <w:style w:type="character" w:styleId="PlaceholderText">
    <w:name w:val="Placeholder Text"/>
    <w:basedOn w:val="DefaultParagraphFont"/>
    <w:uiPriority w:val="99"/>
    <w:semiHidden/>
    <w:rsid w:val="00DF560B"/>
    <w:rPr>
      <w:color w:val="808080"/>
    </w:rPr>
  </w:style>
  <w:style w:type="paragraph" w:customStyle="1" w:styleId="Subject">
    <w:name w:val="Subject"/>
    <w:basedOn w:val="Normal"/>
    <w:qFormat/>
    <w:rsid w:val="00D645EA"/>
    <w:pPr>
      <w:spacing w:afterLines="100" w:after="100"/>
      <w:contextualSpacing/>
    </w:pPr>
    <w:rPr>
      <w:b/>
      <w:noProof/>
    </w:rPr>
  </w:style>
  <w:style w:type="character" w:styleId="Emphasis">
    <w:name w:val="Emphasis"/>
    <w:basedOn w:val="DefaultParagraphFont"/>
    <w:uiPriority w:val="20"/>
    <w:qFormat/>
    <w:rsid w:val="005A7C59"/>
    <w:rPr>
      <w:b w:val="0"/>
      <w:i w:val="0"/>
      <w:iCs/>
      <w:color w:val="53565A" w:themeColor="accent1"/>
    </w:rPr>
  </w:style>
  <w:style w:type="character" w:styleId="IntenseEmphasis">
    <w:name w:val="Intense Emphasis"/>
    <w:basedOn w:val="DefaultParagraphFont"/>
    <w:uiPriority w:val="21"/>
    <w:qFormat/>
    <w:rsid w:val="005A7C59"/>
    <w:rPr>
      <w:b/>
      <w:bCs/>
      <w:i w:val="0"/>
      <w:iCs/>
      <w:color w:val="53565A" w:themeColor="accent1"/>
    </w:rPr>
  </w:style>
  <w:style w:type="character" w:styleId="SubtleEmphasis">
    <w:name w:val="Subtle Emphasis"/>
    <w:basedOn w:val="DefaultParagraphFont"/>
    <w:uiPriority w:val="19"/>
    <w:qFormat/>
    <w:rsid w:val="00BB578B"/>
    <w:rPr>
      <w:i w:val="0"/>
      <w:iCs/>
      <w:color w:val="5D87A1" w:themeColor="accent2"/>
    </w:rPr>
  </w:style>
  <w:style w:type="paragraph" w:styleId="Quote">
    <w:name w:val="Quote"/>
    <w:basedOn w:val="Normal"/>
    <w:next w:val="Normal"/>
    <w:link w:val="QuoteChar"/>
    <w:uiPriority w:val="29"/>
    <w:qFormat/>
    <w:rsid w:val="00BB578B"/>
    <w:pPr>
      <w:framePr w:w="3969" w:vSpace="284" w:wrap="around" w:vAnchor="text" w:hAnchor="margin" w:xAlign="right" w:y="1"/>
      <w:pBdr>
        <w:top w:val="single" w:sz="2" w:space="5" w:color="5D87A1" w:themeColor="accent2"/>
        <w:bottom w:val="single" w:sz="2" w:space="4" w:color="5D87A1" w:themeColor="accent2"/>
      </w:pBdr>
      <w:spacing w:before="20"/>
    </w:pPr>
    <w:rPr>
      <w:iCs/>
      <w:color w:val="53565A" w:themeColor="accent1"/>
    </w:rPr>
  </w:style>
  <w:style w:type="character" w:customStyle="1" w:styleId="QuoteChar">
    <w:name w:val="Quote Char"/>
    <w:basedOn w:val="DefaultParagraphFont"/>
    <w:link w:val="Quote"/>
    <w:uiPriority w:val="29"/>
    <w:rsid w:val="00BB578B"/>
    <w:rPr>
      <w:iCs/>
      <w:color w:val="53565A" w:themeColor="accent1"/>
      <w:sz w:val="20"/>
    </w:rPr>
  </w:style>
  <w:style w:type="character" w:customStyle="1" w:styleId="Heading3Char">
    <w:name w:val="Heading 3 Char"/>
    <w:basedOn w:val="DefaultParagraphFont"/>
    <w:link w:val="Heading3"/>
    <w:uiPriority w:val="9"/>
    <w:rsid w:val="00BB578B"/>
    <w:rPr>
      <w:rFonts w:asciiTheme="majorHAnsi" w:eastAsiaTheme="majorEastAsia" w:hAnsiTheme="majorHAnsi" w:cstheme="majorBidi"/>
      <w:b/>
      <w:bCs/>
      <w:color w:val="53565A" w:themeColor="accent1"/>
      <w:sz w:val="20"/>
    </w:rPr>
  </w:style>
  <w:style w:type="character" w:customStyle="1" w:styleId="Heading4Char">
    <w:name w:val="Heading 4 Char"/>
    <w:basedOn w:val="DefaultParagraphFont"/>
    <w:link w:val="Heading4"/>
    <w:uiPriority w:val="9"/>
    <w:rsid w:val="00BB578B"/>
    <w:rPr>
      <w:rFonts w:asciiTheme="majorHAnsi" w:eastAsiaTheme="majorEastAsia" w:hAnsiTheme="majorHAnsi" w:cstheme="majorBidi"/>
      <w:b/>
      <w:bCs/>
      <w:iCs/>
      <w:color w:val="53565A" w:themeColor="accent1"/>
      <w:sz w:val="20"/>
    </w:rPr>
  </w:style>
  <w:style w:type="character" w:customStyle="1" w:styleId="Heading5Char">
    <w:name w:val="Heading 5 Char"/>
    <w:basedOn w:val="DefaultParagraphFont"/>
    <w:link w:val="Heading5"/>
    <w:uiPriority w:val="9"/>
    <w:rsid w:val="00BB578B"/>
    <w:rPr>
      <w:rFonts w:asciiTheme="majorHAnsi" w:eastAsiaTheme="majorEastAsia" w:hAnsiTheme="majorHAnsi" w:cstheme="majorBidi"/>
      <w:b/>
      <w:color w:val="53565A" w:themeColor="accent1"/>
      <w:sz w:val="20"/>
    </w:rPr>
  </w:style>
  <w:style w:type="character" w:customStyle="1" w:styleId="Heading6Char">
    <w:name w:val="Heading 6 Char"/>
    <w:basedOn w:val="DefaultParagraphFont"/>
    <w:link w:val="Heading6"/>
    <w:uiPriority w:val="9"/>
    <w:rsid w:val="00BB578B"/>
    <w:rPr>
      <w:rFonts w:asciiTheme="majorHAnsi" w:eastAsiaTheme="majorEastAsia" w:hAnsiTheme="majorHAnsi" w:cstheme="majorBidi"/>
      <w:b/>
      <w:iCs/>
      <w:color w:val="53565A" w:themeColor="accent1"/>
      <w:sz w:val="20"/>
    </w:rPr>
  </w:style>
  <w:style w:type="character" w:customStyle="1" w:styleId="Heading7Char">
    <w:name w:val="Heading 7 Char"/>
    <w:basedOn w:val="DefaultParagraphFont"/>
    <w:link w:val="Heading7"/>
    <w:uiPriority w:val="9"/>
    <w:rsid w:val="00BB578B"/>
    <w:rPr>
      <w:rFonts w:asciiTheme="majorHAnsi" w:eastAsiaTheme="majorEastAsia" w:hAnsiTheme="majorHAnsi" w:cstheme="majorBidi"/>
      <w:b/>
      <w:iCs/>
      <w:color w:val="404040" w:themeColor="text1" w:themeTint="BF"/>
      <w:sz w:val="20"/>
    </w:rPr>
  </w:style>
  <w:style w:type="character" w:customStyle="1" w:styleId="Heading8Char">
    <w:name w:val="Heading 8 Char"/>
    <w:basedOn w:val="DefaultParagraphFont"/>
    <w:link w:val="Heading8"/>
    <w:uiPriority w:val="9"/>
    <w:rsid w:val="00BB578B"/>
    <w:rPr>
      <w:rFonts w:asciiTheme="majorHAnsi" w:eastAsiaTheme="majorEastAsia" w:hAnsiTheme="majorHAnsi" w:cstheme="majorBidi"/>
      <w:b/>
      <w:color w:val="404040" w:themeColor="text1" w:themeTint="BF"/>
      <w:sz w:val="20"/>
      <w:szCs w:val="20"/>
    </w:rPr>
  </w:style>
  <w:style w:type="character" w:customStyle="1" w:styleId="Heading9Char">
    <w:name w:val="Heading 9 Char"/>
    <w:basedOn w:val="DefaultParagraphFont"/>
    <w:link w:val="Heading9"/>
    <w:uiPriority w:val="9"/>
    <w:rsid w:val="00BB578B"/>
    <w:rPr>
      <w:rFonts w:asciiTheme="majorHAnsi" w:eastAsiaTheme="majorEastAsia" w:hAnsiTheme="majorHAnsi" w:cstheme="majorBidi"/>
      <w:b/>
      <w:iCs/>
      <w:color w:val="404040" w:themeColor="text1" w:themeTint="BF"/>
      <w:sz w:val="20"/>
      <w:szCs w:val="20"/>
    </w:rPr>
  </w:style>
  <w:style w:type="paragraph" w:customStyle="1" w:styleId="DateandContact">
    <w:name w:val="Date and Contact"/>
    <w:basedOn w:val="Normal"/>
    <w:qFormat/>
    <w:rsid w:val="00D645EA"/>
    <w:pPr>
      <w:spacing w:before="720" w:after="720"/>
      <w:contextualSpacing/>
    </w:pPr>
    <w:rPr>
      <w:sz w:val="18"/>
    </w:rPr>
  </w:style>
  <w:style w:type="paragraph" w:styleId="Title">
    <w:name w:val="Title"/>
    <w:basedOn w:val="Normal"/>
    <w:next w:val="Normal"/>
    <w:link w:val="TitleChar"/>
    <w:uiPriority w:val="10"/>
    <w:rsid w:val="00BB578B"/>
    <w:pPr>
      <w:spacing w:line="240" w:lineRule="auto"/>
    </w:pPr>
    <w:rPr>
      <w:b/>
      <w:color w:val="53565A" w:themeColor="accent1"/>
      <w:sz w:val="60"/>
      <w:szCs w:val="60"/>
    </w:rPr>
  </w:style>
  <w:style w:type="character" w:customStyle="1" w:styleId="TitleChar">
    <w:name w:val="Title Char"/>
    <w:basedOn w:val="DefaultParagraphFont"/>
    <w:link w:val="Title"/>
    <w:uiPriority w:val="10"/>
    <w:rsid w:val="00BB578B"/>
    <w:rPr>
      <w:b/>
      <w:color w:val="53565A" w:themeColor="accent1"/>
      <w:sz w:val="60"/>
      <w:szCs w:val="60"/>
    </w:rPr>
  </w:style>
  <w:style w:type="paragraph" w:styleId="Subtitle">
    <w:name w:val="Subtitle"/>
    <w:next w:val="Normal"/>
    <w:link w:val="SubtitleChar"/>
    <w:uiPriority w:val="11"/>
    <w:rsid w:val="00BB578B"/>
    <w:rPr>
      <w:color w:val="53565A" w:themeColor="accent1"/>
      <w:sz w:val="36"/>
      <w:szCs w:val="36"/>
    </w:rPr>
  </w:style>
  <w:style w:type="character" w:customStyle="1" w:styleId="SubtitleChar">
    <w:name w:val="Subtitle Char"/>
    <w:basedOn w:val="DefaultParagraphFont"/>
    <w:link w:val="Subtitle"/>
    <w:uiPriority w:val="11"/>
    <w:rsid w:val="00BB578B"/>
    <w:rPr>
      <w:color w:val="53565A" w:themeColor="accent1"/>
      <w:sz w:val="36"/>
      <w:szCs w:val="36"/>
    </w:rPr>
  </w:style>
  <w:style w:type="paragraph" w:styleId="ListParagraph">
    <w:name w:val="List Paragraph"/>
    <w:basedOn w:val="Normal"/>
    <w:uiPriority w:val="34"/>
    <w:qFormat/>
    <w:rsid w:val="00160E15"/>
    <w:pPr>
      <w:spacing w:after="160" w:line="259" w:lineRule="auto"/>
      <w:ind w:left="720"/>
      <w:contextualSpacing/>
    </w:pPr>
    <w:rPr>
      <w:rFonts w:ascii="Calibri" w:eastAsia="Calibri" w:hAnsi="Calibri" w:cs="Times New Roman"/>
      <w:sz w:val="22"/>
    </w:rPr>
  </w:style>
  <w:style w:type="paragraph" w:customStyle="1" w:styleId="SampleLetter">
    <w:name w:val="SampleLetter"/>
    <w:rsid w:val="00160E15"/>
    <w:pPr>
      <w:spacing w:after="0" w:line="240" w:lineRule="auto"/>
      <w:ind w:left="720"/>
    </w:pPr>
    <w:rPr>
      <w:rFonts w:ascii="GE Inspira" w:eastAsia="Times New Roman" w:hAnsi="GE Inspira" w:cs="Times New Roman"/>
      <w:sz w:val="20"/>
      <w:szCs w:val="20"/>
    </w:rPr>
  </w:style>
  <w:style w:type="paragraph" w:styleId="Revision">
    <w:name w:val="Revision"/>
    <w:hidden/>
    <w:uiPriority w:val="99"/>
    <w:semiHidden/>
    <w:rsid w:val="00387828"/>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lunaus\OneDrive%20-%20HOYA%20Corporation\PC-Data\Documents\Benutzerdefinierte%20Office-Vorlagen\Stephan%20Lunau_Vorlage_Pentax_202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356C61759245B38BD03C1D6F88D06F"/>
        <w:category>
          <w:name w:val="Allgemein"/>
          <w:gallery w:val="placeholder"/>
        </w:category>
        <w:types>
          <w:type w:val="bbPlcHdr"/>
        </w:types>
        <w:behaviors>
          <w:behavior w:val="content"/>
        </w:behaviors>
        <w:guid w:val="{316925BE-A9B0-48E8-B1B0-F875DC48D846}"/>
      </w:docPartPr>
      <w:docPartBody>
        <w:p w:rsidR="00FC47ED" w:rsidRDefault="00FC47ED">
          <w:pPr>
            <w:pStyle w:val="FC356C61759245B38BD03C1D6F88D06F"/>
          </w:pPr>
          <w:r w:rsidRPr="00D645EA">
            <w:rPr>
              <w:rStyle w:val="PlaceholderText"/>
              <w:lang w:val="en-GB"/>
            </w:rPr>
            <w:t>Click here to insert Address.</w:t>
          </w:r>
        </w:p>
      </w:docPartBody>
    </w:docPart>
    <w:docPart>
      <w:docPartPr>
        <w:name w:val="0E501ADA0FB34211977D056A6B84C3B1"/>
        <w:category>
          <w:name w:val="Allgemein"/>
          <w:gallery w:val="placeholder"/>
        </w:category>
        <w:types>
          <w:type w:val="bbPlcHdr"/>
        </w:types>
        <w:behaviors>
          <w:behavior w:val="content"/>
        </w:behaviors>
        <w:guid w:val="{883C30B9-6434-4BAE-9E01-C234B773B5C3}"/>
      </w:docPartPr>
      <w:docPartBody>
        <w:p w:rsidR="00FC47ED" w:rsidRDefault="00FC47ED">
          <w:pPr>
            <w:pStyle w:val="0E501ADA0FB34211977D056A6B84C3B1"/>
          </w:pPr>
          <w:r w:rsidRPr="00D645EA">
            <w:t>Zur Datumseingabe hier klicken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 Inspira">
    <w:altName w:val="Calibri"/>
    <w:charset w:val="00"/>
    <w:family w:val="swiss"/>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eiryo UI">
    <w:altName w:val="Meiryo UI"/>
    <w:charset w:val="80"/>
    <w:family w:val="swiss"/>
    <w:pitch w:val="variable"/>
    <w:sig w:usb0="E00002FF" w:usb1="6AC7FFFF"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ED"/>
    <w:rsid w:val="002F419A"/>
    <w:rsid w:val="003145CE"/>
    <w:rsid w:val="00552E54"/>
    <w:rsid w:val="00770E4E"/>
    <w:rsid w:val="008A2B5A"/>
    <w:rsid w:val="00916FE5"/>
    <w:rsid w:val="00CF79B8"/>
    <w:rsid w:val="00D00FBF"/>
    <w:rsid w:val="00DB4C3E"/>
    <w:rsid w:val="00DC71AD"/>
    <w:rsid w:val="00FC47E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356C61759245B38BD03C1D6F88D06F">
    <w:name w:val="FC356C61759245B38BD03C1D6F88D06F"/>
  </w:style>
  <w:style w:type="paragraph" w:customStyle="1" w:styleId="0E501ADA0FB34211977D056A6B84C3B1">
    <w:name w:val="0E501ADA0FB34211977D056A6B84C3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PENTAX">
  <a:themeElements>
    <a:clrScheme name="PENTAX">
      <a:dk1>
        <a:sysClr val="windowText" lastClr="000000"/>
      </a:dk1>
      <a:lt1>
        <a:sysClr val="window" lastClr="FFFFFF"/>
      </a:lt1>
      <a:dk2>
        <a:srgbClr val="CBCCCD"/>
      </a:dk2>
      <a:lt2>
        <a:srgbClr val="87898C"/>
      </a:lt2>
      <a:accent1>
        <a:srgbClr val="53565A"/>
      </a:accent1>
      <a:accent2>
        <a:srgbClr val="5D87A1"/>
      </a:accent2>
      <a:accent3>
        <a:srgbClr val="9CC5CA"/>
      </a:accent3>
      <a:accent4>
        <a:srgbClr val="6E8778"/>
      </a:accent4>
      <a:accent5>
        <a:srgbClr val="A9C398"/>
      </a:accent5>
      <a:accent6>
        <a:srgbClr val="A9ABAD"/>
      </a:accent6>
      <a:hlink>
        <a:srgbClr val="DA291C"/>
      </a:hlink>
      <a:folHlink>
        <a:srgbClr val="DA291C"/>
      </a:folHlink>
    </a:clrScheme>
    <a:fontScheme name="CG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sz="2000" smtClean="0">
            <a:solidFill>
              <a:schemeClr val="accent2"/>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noAutofit/>
      </a:bodyPr>
      <a:lstStyle>
        <a:defPPr marL="360000" indent="-360000">
          <a:buClr>
            <a:schemeClr val="accent1"/>
          </a:buClr>
          <a:buSzPct val="75000"/>
          <a:buFont typeface="Wingdings" pitchFamily="2" charset="2"/>
          <a:buChar char=""/>
          <a:defRPr sz="2000" dirty="0" smtClean="0">
            <a:solidFill>
              <a:schemeClr val="accent2"/>
            </a:solidFill>
          </a:defRPr>
        </a:defPPr>
      </a:lstStyle>
    </a:txDef>
  </a:objectDefaults>
  <a:extraClrSchemeLst/>
  <a:custClrLst>
    <a:custClr name="PENTAX Red">
      <a:srgbClr val="DA291C"/>
    </a:custClr>
    <a:custClr name="PENTAX Red">
      <a:srgbClr val="DA291C"/>
    </a:custClr>
    <a:custClr name="PENTAX Red">
      <a:srgbClr val="DA291C"/>
    </a:custClr>
    <a:custClr name="PENTAX Red">
      <a:srgbClr val="DA291C"/>
    </a:custClr>
    <a:custClr name="PENTAX Red">
      <a:srgbClr val="DA291C"/>
    </a:custClr>
    <a:custClr name=" ">
      <a:srgbClr val="FFFFFF"/>
    </a:custClr>
    <a:custClr name=" ">
      <a:srgbClr val="FFFFFF"/>
    </a:custClr>
    <a:custClr name=" ">
      <a:srgbClr val="FFFFFF"/>
    </a:custClr>
    <a:custClr name=" ">
      <a:srgbClr val="FFFFFF"/>
    </a:custClr>
    <a:custClr name=" ">
      <a:srgbClr val="FFFFFF"/>
    </a:custClr>
    <a:custClr name="PENTAX Gray 100%">
      <a:srgbClr val="53565A"/>
    </a:custClr>
    <a:custClr name="PENTAX Gray 70%">
      <a:srgbClr val="87898C"/>
    </a:custClr>
    <a:custClr name="PENTAX Gray 50%">
      <a:srgbClr val="A9ABAD"/>
    </a:custClr>
    <a:custClr name="PENTAX Gray 30%">
      <a:srgbClr val="CBCCCD"/>
    </a:custClr>
    <a:custClr name="PENTAX Gray 10%">
      <a:srgbClr val="EEEEEF"/>
    </a:custClr>
    <a:custClr name=" ">
      <a:srgbClr val="FFFFFF"/>
    </a:custClr>
    <a:custClr name=" ">
      <a:srgbClr val="FFFFFF"/>
    </a:custClr>
    <a:custClr name=" ">
      <a:srgbClr val="FFFFFF"/>
    </a:custClr>
    <a:custClr name=" ">
      <a:srgbClr val="FFFFFF"/>
    </a:custClr>
    <a:custClr name=" ">
      <a:srgbClr val="FFFFFF"/>
    </a:custClr>
    <a:custClr>
      <a:srgbClr val="5D87A1"/>
    </a:custClr>
    <a:custClr>
      <a:srgbClr val="7E9FB4"/>
    </a:custClr>
    <a:custClr>
      <a:srgbClr val="9CC5CA"/>
    </a:custClr>
    <a:custClr name=" ">
      <a:srgbClr val="FFFFFF"/>
    </a:custClr>
    <a:custClr name=" ">
      <a:srgbClr val="FFFFFF"/>
    </a:custClr>
    <a:custClr name=" ">
      <a:srgbClr val="FFFFFF"/>
    </a:custClr>
    <a:custClr name=" ">
      <a:srgbClr val="FFFFFF"/>
    </a:custClr>
    <a:custClr name=" ">
      <a:srgbClr val="FFFFFF"/>
    </a:custClr>
    <a:custClr name=" ">
      <a:srgbClr val="FFFFFF"/>
    </a:custClr>
    <a:custClr name=" ">
      <a:srgbClr val="FFFFFF"/>
    </a:custClr>
    <a:custClr>
      <a:srgbClr val="6E8778"/>
    </a:custClr>
    <a:custClr>
      <a:srgbClr val="A9C398"/>
    </a:custClr>
    <a:custClr>
      <a:srgbClr val="D3D6AB"/>
    </a:custClr>
    <a:custClr>
      <a:srgbClr val="F0F1D9"/>
    </a:custClr>
    <a:custClr name=" ">
      <a:srgbClr val="FFFFFF"/>
    </a:custClr>
    <a:custClr name=" ">
      <a:srgbClr val="FFFFFF"/>
    </a:custClr>
    <a:custClr name=" ">
      <a:srgbClr val="FFFFFF"/>
    </a:custClr>
    <a:custClr name=" ">
      <a:srgbClr val="FFFFFF"/>
    </a:custClr>
    <a:custClr name=" ">
      <a:srgbClr val="FFFFFF"/>
    </a:custClr>
    <a:custClr name=" ">
      <a:srgbClr val="FFFFFF"/>
    </a:custClr>
    <a:custClr>
      <a:srgbClr val="776441"/>
    </a:custClr>
    <a:custClr>
      <a:srgbClr val="CBB677"/>
    </a:custClr>
    <a:custClr>
      <a:srgbClr val="FEE292"/>
    </a:custClr>
    <a:custClr name=" ">
      <a:srgbClr val="FFFFFF"/>
    </a:custClr>
    <a:custClr name=" ">
      <a:srgbClr val="FFFFFF"/>
    </a:custClr>
    <a:custClr name=" ">
      <a:srgbClr val="FFFFFF"/>
    </a:custClr>
    <a:custClr name=" ">
      <a:srgbClr val="FFFFFF"/>
    </a:custClr>
    <a:custClr name=" ">
      <a:srgbClr val="FFFFFF"/>
    </a:custClr>
    <a:custClr name=" ">
      <a:srgbClr val="FFFFFF"/>
    </a:custClr>
    <a:custClr name=" ">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1DC7B9CDBC484E9FD11DEDFD695C76" ma:contentTypeVersion="10" ma:contentTypeDescription="Ein neues Dokument erstellen." ma:contentTypeScope="" ma:versionID="840becfdbf33c53482a14ac354fd2514">
  <xsd:schema xmlns:xsd="http://www.w3.org/2001/XMLSchema" xmlns:xs="http://www.w3.org/2001/XMLSchema" xmlns:p="http://schemas.microsoft.com/office/2006/metadata/properties" xmlns:ns2="bc5d1a93-fd60-451f-a467-08c298ee573b" xmlns:ns3="c4c95e7c-a890-49ba-85ec-de7a76626b8e" targetNamespace="http://schemas.microsoft.com/office/2006/metadata/properties" ma:root="true" ma:fieldsID="c4a09f52a0d45a07c29424f4db6cebd4" ns2:_="" ns3:_="">
    <xsd:import namespace="bc5d1a93-fd60-451f-a467-08c298ee573b"/>
    <xsd:import namespace="c4c95e7c-a890-49ba-85ec-de7a76626b8e"/>
    <xsd:element name="properties">
      <xsd:complexType>
        <xsd:sequence>
          <xsd:element name="documentManagement">
            <xsd:complexType>
              <xsd:all>
                <xsd:element ref="ns2:Country" minOccurs="0"/>
                <xsd:element ref="ns2:Region" minOccurs="0"/>
                <xsd:element ref="ns2:DocumentScope"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d1a93-fd60-451f-a467-08c298ee573b" elementFormDefault="qualified">
    <xsd:import namespace="http://schemas.microsoft.com/office/2006/documentManagement/types"/>
    <xsd:import namespace="http://schemas.microsoft.com/office/infopath/2007/PartnerControls"/>
    <xsd:element name="Country" ma:index="8" nillable="true" ma:displayName="Country" ma:default="Germany" ma:format="Dropdown" ma:internalName="Country">
      <xsd:simpleType>
        <xsd:restriction base="dms:Choice">
          <xsd:enumeration value="Germany"/>
          <xsd:enumeration value="UK"/>
          <xsd:enumeration value="France"/>
          <xsd:enumeration value="Iberia"/>
        </xsd:restriction>
      </xsd:simpleType>
    </xsd:element>
    <xsd:element name="Region" ma:index="9" nillable="true" ma:displayName="Region" ma:default="EMEA" ma:format="Dropdown" ma:internalName="Region">
      <xsd:simpleType>
        <xsd:restriction base="dms:Choice">
          <xsd:enumeration value="EMEA"/>
          <xsd:enumeration value="APAC"/>
          <xsd:enumeration value="Japan"/>
        </xsd:restriction>
      </xsd:simpleType>
    </xsd:element>
    <xsd:element name="DocumentScope" ma:index="10" nillable="true" ma:displayName="DocumentScope" ma:internalName="DocumentSco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c95e7c-a890-49ba-85ec-de7a76626b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gion xmlns="bc5d1a93-fd60-451f-a467-08c298ee573b">EMEA</Region>
    <Country xmlns="bc5d1a93-fd60-451f-a467-08c298ee573b">Germany</Country>
    <DocumentScope xmlns="bc5d1a93-fd60-451f-a467-08c298ee573b" xsi:nil="true"/>
  </documentManagement>
</p:properties>
</file>

<file path=customXml/itemProps1.xml><?xml version="1.0" encoding="utf-8"?>
<ds:datastoreItem xmlns:ds="http://schemas.openxmlformats.org/officeDocument/2006/customXml" ds:itemID="{8DA7BBF1-824B-49B0-BBB0-A683E21D0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d1a93-fd60-451f-a467-08c298ee573b"/>
    <ds:schemaRef ds:uri="c4c95e7c-a890-49ba-85ec-de7a76626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C2206-15DF-4CF2-8E1A-60004E07C536}">
  <ds:schemaRefs>
    <ds:schemaRef ds:uri="http://schemas.microsoft.com/sharepoint/v3/contenttype/forms"/>
  </ds:schemaRefs>
</ds:datastoreItem>
</file>

<file path=customXml/itemProps3.xml><?xml version="1.0" encoding="utf-8"?>
<ds:datastoreItem xmlns:ds="http://schemas.openxmlformats.org/officeDocument/2006/customXml" ds:itemID="{A14522E0-52E7-4414-9555-E137F737E0CA}">
  <ds:schemaRefs>
    <ds:schemaRef ds:uri="http://schemas.microsoft.com/office/2006/metadata/properties"/>
    <ds:schemaRef ds:uri="http://schemas.microsoft.com/office/infopath/2007/PartnerControls"/>
    <ds:schemaRef ds:uri="bc5d1a93-fd60-451f-a467-08c298ee573b"/>
  </ds:schemaRefs>
</ds:datastoreItem>
</file>

<file path=docProps/app.xml><?xml version="1.0" encoding="utf-8"?>
<Properties xmlns="http://schemas.openxmlformats.org/officeDocument/2006/extended-properties" xmlns:vt="http://schemas.openxmlformats.org/officeDocument/2006/docPropsVTypes">
  <Template>Stephan Lunau_Vorlage_Pentax_2024</Template>
  <TotalTime>0</TotalTime>
  <Pages>4</Pages>
  <Words>5827</Words>
  <Characters>3322</Characters>
  <Application>Microsoft Office Word</Application>
  <DocSecurity>0</DocSecurity>
  <Lines>27</Lines>
  <Paragraphs>18</Paragraphs>
  <ScaleCrop>false</ScaleCrop>
  <HeadingPairs>
    <vt:vector size="2" baseType="variant">
      <vt:variant>
        <vt:lpstr>Titel</vt:lpstr>
      </vt:variant>
      <vt:variant>
        <vt:i4>1</vt:i4>
      </vt:variant>
    </vt:vector>
  </HeadingPairs>
  <TitlesOfParts>
    <vt:vector size="1" baseType="lpstr">
      <vt:lpstr>Titel des Dokuments</vt:lpstr>
    </vt:vector>
  </TitlesOfParts>
  <Company>Microsoft</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Dokuments</dc:title>
  <dc:creator>Dr. Stephan Lunau</dc:creator>
  <dc:description>Optimiert für Word 2010</dc:description>
  <cp:lastModifiedBy>Silvija Kaugere</cp:lastModifiedBy>
  <cp:revision>2</cp:revision>
  <cp:lastPrinted>2023-10-11T09:13:00Z</cp:lastPrinted>
  <dcterms:created xsi:type="dcterms:W3CDTF">2025-01-17T15:12:00Z</dcterms:created>
  <dcterms:modified xsi:type="dcterms:W3CDTF">2025-01-17T15:12:00Z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0x010100521DC7B9CDBC484E9FD11DEDFD695C76</vt:lpwstr>
  </property>
  <property fmtid="{D5CDD505-2E9C-101B-9397-08002B2CF9AE}" pid="3" name="MediaServiceImageTags">
    <vt:lpwstr/>
  </property>
</Properties>
</file>