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FB35" w14:textId="46034DB4" w:rsidR="00EC32F4" w:rsidRPr="00FE17FC" w:rsidRDefault="00FE17FC" w:rsidP="00770144">
      <w:pPr>
        <w:jc w:val="center"/>
        <w:rPr>
          <w:rFonts w:ascii="Times New Roman" w:hAnsi="Times New Roman" w:cs="Times New Roman"/>
          <w:b/>
          <w:color w:val="16355A"/>
          <w:sz w:val="28"/>
          <w:szCs w:val="28"/>
        </w:rPr>
      </w:pPr>
      <w:r w:rsidRPr="00FE17FC">
        <w:rPr>
          <w:rFonts w:ascii="Times New Roman" w:hAnsi="Times New Roman" w:cs="Times New Roman"/>
          <w:b/>
          <w:color w:val="16355A"/>
          <w:sz w:val="28"/>
          <w:szCs w:val="28"/>
        </w:rPr>
        <w:t>PĀRSKATS PAR AUDU CENTRU DARBU 20</w:t>
      </w:r>
      <w:r w:rsidR="001F565A">
        <w:rPr>
          <w:rFonts w:ascii="Times New Roman" w:hAnsi="Times New Roman" w:cs="Times New Roman"/>
          <w:b/>
          <w:color w:val="16355A"/>
          <w:sz w:val="28"/>
          <w:szCs w:val="28"/>
        </w:rPr>
        <w:t>2</w:t>
      </w:r>
      <w:r w:rsidR="00104215">
        <w:rPr>
          <w:rFonts w:ascii="Times New Roman" w:hAnsi="Times New Roman" w:cs="Times New Roman"/>
          <w:b/>
          <w:color w:val="16355A"/>
          <w:sz w:val="28"/>
          <w:szCs w:val="28"/>
        </w:rPr>
        <w:t>2</w:t>
      </w:r>
      <w:r w:rsidRPr="00FE17FC">
        <w:rPr>
          <w:rFonts w:ascii="Times New Roman" w:hAnsi="Times New Roman" w:cs="Times New Roman"/>
          <w:b/>
          <w:color w:val="16355A"/>
          <w:sz w:val="28"/>
          <w:szCs w:val="28"/>
        </w:rPr>
        <w:t>. GADĀ</w:t>
      </w:r>
      <w:r w:rsidR="00B15FBB">
        <w:rPr>
          <w:rFonts w:ascii="Times New Roman" w:hAnsi="Times New Roman" w:cs="Times New Roman"/>
          <w:b/>
          <w:color w:val="16355A"/>
          <w:sz w:val="28"/>
          <w:szCs w:val="28"/>
        </w:rPr>
        <w:t xml:space="preserve"> LATVIJĀ</w:t>
      </w:r>
    </w:p>
    <w:p w14:paraId="24BC6AF3" w14:textId="5D4227FE" w:rsidR="00770144" w:rsidRPr="00F77E5C" w:rsidRDefault="0035326A" w:rsidP="00C80E01">
      <w:pPr>
        <w:jc w:val="both"/>
        <w:rPr>
          <w:rFonts w:ascii="Times New Roman" w:hAnsi="Times New Roman" w:cs="Times New Roman"/>
          <w:sz w:val="24"/>
          <w:szCs w:val="24"/>
        </w:rPr>
      </w:pPr>
      <w:r>
        <w:rPr>
          <w:rFonts w:ascii="Times New Roman" w:hAnsi="Times New Roman" w:cs="Times New Roman"/>
          <w:sz w:val="24"/>
          <w:szCs w:val="24"/>
        </w:rPr>
        <w:t xml:space="preserve"> Cilvēka audu un šūnu izmantošanu</w:t>
      </w:r>
      <w:r w:rsidR="00B15FBB">
        <w:rPr>
          <w:rFonts w:ascii="Times New Roman" w:hAnsi="Times New Roman" w:cs="Times New Roman"/>
          <w:sz w:val="24"/>
          <w:szCs w:val="24"/>
        </w:rPr>
        <w:t>, kā īpašu veselības aprūpes sastāvdaļu, regulē likums “</w:t>
      </w:r>
      <w:r w:rsidR="00B15FBB" w:rsidRPr="007B4D66">
        <w:rPr>
          <w:rFonts w:ascii="Times New Roman" w:hAnsi="Times New Roman" w:cs="Times New Roman"/>
          <w:sz w:val="24"/>
          <w:szCs w:val="24"/>
        </w:rPr>
        <w:t>Par miruša cilvēka ķermeņa aizsardzību un</w:t>
      </w:r>
      <w:r w:rsidR="00B15FBB">
        <w:rPr>
          <w:rFonts w:ascii="Times New Roman" w:hAnsi="Times New Roman" w:cs="Times New Roman"/>
          <w:sz w:val="24"/>
          <w:szCs w:val="24"/>
        </w:rPr>
        <w:t xml:space="preserve"> </w:t>
      </w:r>
      <w:r w:rsidR="00B15FBB" w:rsidRPr="007B4D66">
        <w:rPr>
          <w:rFonts w:ascii="Times New Roman" w:hAnsi="Times New Roman" w:cs="Times New Roman"/>
          <w:sz w:val="24"/>
          <w:szCs w:val="24"/>
        </w:rPr>
        <w:t>cilvēka audu un orgānu izmantošanu medicīnā</w:t>
      </w:r>
      <w:r w:rsidR="00B15FBB">
        <w:rPr>
          <w:rFonts w:ascii="Times New Roman" w:hAnsi="Times New Roman" w:cs="Times New Roman"/>
          <w:sz w:val="24"/>
          <w:szCs w:val="24"/>
        </w:rPr>
        <w:t>”, Seksuālās un reproduktīvās veselības likums</w:t>
      </w:r>
      <w:r w:rsidR="00B15FBB" w:rsidRPr="007B4D66">
        <w:rPr>
          <w:rFonts w:ascii="Times New Roman" w:hAnsi="Times New Roman" w:cs="Times New Roman"/>
          <w:sz w:val="24"/>
          <w:szCs w:val="24"/>
        </w:rPr>
        <w:t xml:space="preserve"> </w:t>
      </w:r>
      <w:r w:rsidR="00B15FBB">
        <w:rPr>
          <w:rFonts w:ascii="Times New Roman" w:hAnsi="Times New Roman" w:cs="Times New Roman"/>
          <w:sz w:val="24"/>
          <w:szCs w:val="24"/>
        </w:rPr>
        <w:t xml:space="preserve">un </w:t>
      </w:r>
      <w:r w:rsidR="00C80E01" w:rsidRPr="00F77E5C">
        <w:rPr>
          <w:rFonts w:ascii="Times New Roman" w:hAnsi="Times New Roman" w:cs="Times New Roman"/>
          <w:sz w:val="24"/>
          <w:szCs w:val="24"/>
        </w:rPr>
        <w:t xml:space="preserve">Ministru kabineta </w:t>
      </w:r>
      <w:r w:rsidR="000A768A" w:rsidRPr="00F77E5C">
        <w:rPr>
          <w:rFonts w:ascii="Times New Roman" w:hAnsi="Times New Roman" w:cs="Times New Roman"/>
          <w:sz w:val="24"/>
          <w:szCs w:val="24"/>
        </w:rPr>
        <w:t xml:space="preserve">2013. gada 22. oktobra </w:t>
      </w:r>
      <w:r w:rsidR="00C80E01" w:rsidRPr="00F77E5C">
        <w:rPr>
          <w:rFonts w:ascii="Times New Roman" w:hAnsi="Times New Roman" w:cs="Times New Roman"/>
          <w:sz w:val="24"/>
          <w:szCs w:val="24"/>
        </w:rPr>
        <w:t>noteikum</w:t>
      </w:r>
      <w:r w:rsidR="00B15FBB">
        <w:rPr>
          <w:rFonts w:ascii="Times New Roman" w:hAnsi="Times New Roman" w:cs="Times New Roman"/>
          <w:sz w:val="24"/>
          <w:szCs w:val="24"/>
        </w:rPr>
        <w:t>i</w:t>
      </w:r>
      <w:r w:rsidR="00C80E01" w:rsidRPr="00F77E5C">
        <w:rPr>
          <w:rFonts w:ascii="Times New Roman" w:hAnsi="Times New Roman" w:cs="Times New Roman"/>
          <w:sz w:val="24"/>
          <w:szCs w:val="24"/>
        </w:rPr>
        <w:t xml:space="preserve"> Nr. 1176 „Cilvēka audu un šūnu izmantošanas kārtība”</w:t>
      </w:r>
      <w:r w:rsidR="004D2D34" w:rsidRPr="00F77E5C">
        <w:rPr>
          <w:rFonts w:ascii="Times New Roman" w:hAnsi="Times New Roman" w:cs="Times New Roman"/>
          <w:sz w:val="24"/>
          <w:szCs w:val="24"/>
        </w:rPr>
        <w:t xml:space="preserve"> (turpmāk Noteikumi Nr. 1176)</w:t>
      </w:r>
      <w:r w:rsidR="00B15FBB">
        <w:rPr>
          <w:rFonts w:ascii="Times New Roman" w:hAnsi="Times New Roman" w:cs="Times New Roman"/>
          <w:sz w:val="24"/>
          <w:szCs w:val="24"/>
        </w:rPr>
        <w:t>. Noteikumu Nr.1176</w:t>
      </w:r>
      <w:r w:rsidR="00EC4F54" w:rsidRPr="00F77E5C">
        <w:rPr>
          <w:rFonts w:ascii="Times New Roman" w:hAnsi="Times New Roman" w:cs="Times New Roman"/>
          <w:sz w:val="24"/>
          <w:szCs w:val="24"/>
        </w:rPr>
        <w:t xml:space="preserve"> </w:t>
      </w:r>
      <w:r w:rsidR="00FD2303" w:rsidRPr="00F77E5C">
        <w:rPr>
          <w:rFonts w:ascii="Times New Roman" w:hAnsi="Times New Roman" w:cs="Times New Roman"/>
          <w:sz w:val="24"/>
          <w:szCs w:val="24"/>
        </w:rPr>
        <w:t>6.</w:t>
      </w:r>
      <w:r w:rsidR="00B15FBB">
        <w:rPr>
          <w:rFonts w:ascii="Times New Roman" w:hAnsi="Times New Roman" w:cs="Times New Roman"/>
          <w:sz w:val="24"/>
          <w:szCs w:val="24"/>
        </w:rPr>
        <w:t xml:space="preserve"> </w:t>
      </w:r>
      <w:r w:rsidR="004D2D34" w:rsidRPr="00F77E5C">
        <w:rPr>
          <w:rFonts w:ascii="Times New Roman" w:hAnsi="Times New Roman" w:cs="Times New Roman"/>
          <w:sz w:val="24"/>
          <w:szCs w:val="24"/>
        </w:rPr>
        <w:t>punkts paredz</w:t>
      </w:r>
      <w:r w:rsidR="001451DC" w:rsidRPr="00F77E5C">
        <w:rPr>
          <w:rFonts w:ascii="Times New Roman" w:hAnsi="Times New Roman" w:cs="Times New Roman"/>
          <w:sz w:val="24"/>
          <w:szCs w:val="24"/>
        </w:rPr>
        <w:t>,</w:t>
      </w:r>
      <w:r w:rsidR="004D2D34" w:rsidRPr="00F77E5C">
        <w:rPr>
          <w:rFonts w:ascii="Times New Roman" w:hAnsi="Times New Roman" w:cs="Times New Roman"/>
          <w:sz w:val="24"/>
          <w:szCs w:val="24"/>
        </w:rPr>
        <w:t xml:space="preserve"> ka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 xml:space="preserve">udu centru un ieguves organizāciju atbilstību šajos noteikumos minētajām prasībām uzrauga Zāļu valsts aģentūra (turpmāk –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ģentūra).</w:t>
      </w:r>
    </w:p>
    <w:p w14:paraId="61E8E69A" w14:textId="3BEE2649" w:rsidR="008E2487" w:rsidRDefault="00C76198" w:rsidP="006574EF">
      <w:pPr>
        <w:jc w:val="both"/>
        <w:rPr>
          <w:rFonts w:ascii="Times New Roman" w:hAnsi="Times New Roman" w:cs="Times New Roman"/>
          <w:sz w:val="24"/>
          <w:szCs w:val="24"/>
        </w:rPr>
      </w:pPr>
      <w:r w:rsidRPr="00F77E5C">
        <w:rPr>
          <w:rFonts w:ascii="Times New Roman" w:hAnsi="Times New Roman" w:cs="Times New Roman"/>
          <w:sz w:val="24"/>
          <w:szCs w:val="24"/>
        </w:rPr>
        <w:t xml:space="preserve">Saskaņā ar Noteikumu Nr.1176 prasībām audu centri sagatavo gada pārskatu par iepriekšējā gada darbību </w:t>
      </w:r>
      <w:r w:rsidR="004A654A" w:rsidRPr="00F77E5C">
        <w:rPr>
          <w:rFonts w:ascii="Times New Roman" w:hAnsi="Times New Roman" w:cs="Times New Roman"/>
          <w:sz w:val="24"/>
          <w:szCs w:val="24"/>
        </w:rPr>
        <w:t>un</w:t>
      </w:r>
      <w:r w:rsidR="00EF3E81"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iesniedz to </w:t>
      </w:r>
      <w:r w:rsidR="004A654A" w:rsidRPr="00F77E5C">
        <w:rPr>
          <w:rFonts w:ascii="Times New Roman" w:hAnsi="Times New Roman" w:cs="Times New Roman"/>
          <w:sz w:val="24"/>
          <w:szCs w:val="24"/>
        </w:rPr>
        <w:t>A</w:t>
      </w:r>
      <w:r w:rsidRPr="00F77E5C">
        <w:rPr>
          <w:rFonts w:ascii="Times New Roman" w:hAnsi="Times New Roman" w:cs="Times New Roman"/>
          <w:sz w:val="24"/>
          <w:szCs w:val="24"/>
        </w:rPr>
        <w:t>ģentūrā.</w:t>
      </w:r>
      <w:r w:rsidR="004A654A" w:rsidRPr="00F77E5C">
        <w:rPr>
          <w:rFonts w:ascii="Times New Roman" w:hAnsi="Times New Roman" w:cs="Times New Roman"/>
          <w:sz w:val="24"/>
          <w:szCs w:val="24"/>
        </w:rPr>
        <w:t xml:space="preserve"> Gada pārskatā veic audu centra darbības uzskaiti, tai skaitā norādot iegūto, testēto, konservēto, apstrādāto, uzglabāto un izplatīto vai citādi izmantoto audu vai šūnu veidu un daudzumu, kā arī to audu un šūnu izcelsmi un galamērķi, ko paredzēts izmantot cilvēkiem.</w:t>
      </w:r>
      <w:r w:rsidR="00D87C09" w:rsidRPr="00F77E5C">
        <w:rPr>
          <w:rFonts w:ascii="Times New Roman" w:hAnsi="Times New Roman" w:cs="Times New Roman"/>
          <w:sz w:val="24"/>
          <w:szCs w:val="24"/>
        </w:rPr>
        <w:t xml:space="preserve"> Aģentūra ir </w:t>
      </w:r>
      <w:r w:rsidR="004401B4" w:rsidRPr="00F77E5C">
        <w:rPr>
          <w:rFonts w:ascii="Times New Roman" w:hAnsi="Times New Roman" w:cs="Times New Roman"/>
          <w:sz w:val="24"/>
          <w:szCs w:val="24"/>
        </w:rPr>
        <w:t>apkopojusi audu centru iesniegtos datu</w:t>
      </w:r>
      <w:r w:rsidR="00ED430D" w:rsidRPr="00F77E5C">
        <w:rPr>
          <w:rFonts w:ascii="Times New Roman" w:hAnsi="Times New Roman" w:cs="Times New Roman"/>
          <w:sz w:val="24"/>
          <w:szCs w:val="24"/>
        </w:rPr>
        <w:t xml:space="preserve">s par </w:t>
      </w:r>
      <w:r w:rsidR="00D1254D" w:rsidRPr="00F77E5C">
        <w:rPr>
          <w:rFonts w:ascii="Times New Roman" w:hAnsi="Times New Roman" w:cs="Times New Roman"/>
          <w:sz w:val="24"/>
          <w:szCs w:val="24"/>
        </w:rPr>
        <w:t xml:space="preserve">izmantotajiem </w:t>
      </w:r>
      <w:r w:rsidR="00ED430D" w:rsidRPr="00F77E5C">
        <w:rPr>
          <w:rFonts w:ascii="Times New Roman" w:hAnsi="Times New Roman" w:cs="Times New Roman"/>
          <w:sz w:val="24"/>
          <w:szCs w:val="24"/>
        </w:rPr>
        <w:t>nereproduktīvajiem un reproduktīvajiem audiem</w:t>
      </w:r>
      <w:r w:rsidR="00D1254D" w:rsidRPr="00F77E5C">
        <w:rPr>
          <w:rFonts w:ascii="Times New Roman" w:hAnsi="Times New Roman" w:cs="Times New Roman"/>
          <w:sz w:val="24"/>
          <w:szCs w:val="24"/>
        </w:rPr>
        <w:t>.</w:t>
      </w:r>
    </w:p>
    <w:p w14:paraId="7FF48676" w14:textId="77777777" w:rsidR="006B1C6A" w:rsidRDefault="006B1C6A" w:rsidP="00044334">
      <w:pPr>
        <w:jc w:val="center"/>
        <w:rPr>
          <w:rFonts w:ascii="Times New Roman" w:hAnsi="Times New Roman" w:cs="Times New Roman"/>
          <w:b/>
          <w:color w:val="16355A"/>
          <w:sz w:val="28"/>
          <w:szCs w:val="24"/>
        </w:rPr>
      </w:pPr>
    </w:p>
    <w:p w14:paraId="3EE38813" w14:textId="55C19EC3" w:rsidR="00044334" w:rsidRPr="00FE17FC" w:rsidRDefault="00FE17FC" w:rsidP="00044334">
      <w:pPr>
        <w:jc w:val="center"/>
        <w:rPr>
          <w:rFonts w:ascii="Times New Roman" w:hAnsi="Times New Roman" w:cs="Times New Roman"/>
          <w:b/>
          <w:color w:val="16355A"/>
          <w:sz w:val="28"/>
          <w:szCs w:val="24"/>
        </w:rPr>
      </w:pPr>
      <w:r w:rsidRPr="00FE17FC">
        <w:rPr>
          <w:rFonts w:ascii="Times New Roman" w:hAnsi="Times New Roman" w:cs="Times New Roman"/>
          <w:b/>
          <w:color w:val="16355A"/>
          <w:sz w:val="28"/>
          <w:szCs w:val="24"/>
        </w:rPr>
        <w:t>NEREPRODUKTĪVO AUDU UN ŠŪNU IZMANTOŠANA</w:t>
      </w:r>
    </w:p>
    <w:p w14:paraId="24CACD24" w14:textId="461415E7" w:rsidR="00D16FAE" w:rsidRDefault="006942D9" w:rsidP="00EF3E81">
      <w:pPr>
        <w:jc w:val="both"/>
        <w:rPr>
          <w:rFonts w:ascii="Times New Roman" w:hAnsi="Times New Roman" w:cs="Times New Roman"/>
          <w:sz w:val="24"/>
          <w:szCs w:val="24"/>
        </w:rPr>
      </w:pPr>
      <w:r w:rsidRPr="00F77E5C">
        <w:rPr>
          <w:rFonts w:ascii="Times New Roman" w:hAnsi="Times New Roman" w:cs="Times New Roman"/>
          <w:sz w:val="24"/>
          <w:szCs w:val="24"/>
        </w:rPr>
        <w:t>20</w:t>
      </w:r>
      <w:r w:rsidR="001F565A">
        <w:rPr>
          <w:rFonts w:ascii="Times New Roman" w:hAnsi="Times New Roman" w:cs="Times New Roman"/>
          <w:sz w:val="24"/>
          <w:szCs w:val="24"/>
        </w:rPr>
        <w:t>2</w:t>
      </w:r>
      <w:r w:rsidR="008E57E8">
        <w:rPr>
          <w:rFonts w:ascii="Times New Roman" w:hAnsi="Times New Roman" w:cs="Times New Roman"/>
          <w:sz w:val="24"/>
          <w:szCs w:val="24"/>
        </w:rPr>
        <w:t>2</w:t>
      </w:r>
      <w:r w:rsidRPr="00F77E5C">
        <w:rPr>
          <w:rFonts w:ascii="Times New Roman" w:hAnsi="Times New Roman" w:cs="Times New Roman"/>
          <w:sz w:val="24"/>
          <w:szCs w:val="24"/>
        </w:rPr>
        <w:t>.</w:t>
      </w:r>
      <w:r w:rsidRPr="00531406">
        <w:rPr>
          <w:rFonts w:ascii="Times New Roman" w:hAnsi="Times New Roman" w:cs="Times New Roman"/>
          <w:sz w:val="24"/>
          <w:szCs w:val="24"/>
        </w:rPr>
        <w:t xml:space="preserve">gadā Aģentūra </w:t>
      </w:r>
      <w:r w:rsidR="003960E3">
        <w:rPr>
          <w:rFonts w:ascii="Times New Roman" w:hAnsi="Times New Roman" w:cs="Times New Roman"/>
          <w:sz w:val="24"/>
          <w:szCs w:val="24"/>
        </w:rPr>
        <w:t>turpināja veikt audu centru darbības</w:t>
      </w:r>
      <w:r w:rsidRPr="00531406">
        <w:rPr>
          <w:rFonts w:ascii="Times New Roman" w:hAnsi="Times New Roman" w:cs="Times New Roman"/>
          <w:sz w:val="24"/>
          <w:szCs w:val="24"/>
        </w:rPr>
        <w:t xml:space="preserve"> atbilstīb</w:t>
      </w:r>
      <w:r w:rsidR="00B8648A">
        <w:rPr>
          <w:rFonts w:ascii="Times New Roman" w:hAnsi="Times New Roman" w:cs="Times New Roman"/>
          <w:sz w:val="24"/>
          <w:szCs w:val="24"/>
        </w:rPr>
        <w:t xml:space="preserve">as uzraudzību saskaņā ar </w:t>
      </w:r>
      <w:r w:rsidRPr="00531406">
        <w:rPr>
          <w:rFonts w:ascii="Times New Roman" w:hAnsi="Times New Roman" w:cs="Times New Roman"/>
          <w:sz w:val="24"/>
          <w:szCs w:val="24"/>
        </w:rPr>
        <w:t xml:space="preserve"> Noteikumu Nr. 1176 prasībā</w:t>
      </w:r>
      <w:r w:rsidR="008B756C" w:rsidRPr="00531406">
        <w:rPr>
          <w:rFonts w:ascii="Times New Roman" w:hAnsi="Times New Roman" w:cs="Times New Roman"/>
          <w:sz w:val="24"/>
          <w:szCs w:val="24"/>
        </w:rPr>
        <w:t>m</w:t>
      </w:r>
      <w:r w:rsidR="00FE74E5">
        <w:rPr>
          <w:rFonts w:ascii="Times New Roman" w:hAnsi="Times New Roman" w:cs="Times New Roman"/>
          <w:sz w:val="24"/>
          <w:szCs w:val="24"/>
        </w:rPr>
        <w:t xml:space="preserve">. </w:t>
      </w:r>
    </w:p>
    <w:p w14:paraId="46A5A688" w14:textId="72DF8307" w:rsidR="009E0F52" w:rsidRDefault="008E57E8" w:rsidP="00EF3E81">
      <w:pPr>
        <w:jc w:val="both"/>
        <w:rPr>
          <w:rFonts w:ascii="Times New Roman" w:hAnsi="Times New Roman" w:cs="Times New Roman"/>
          <w:sz w:val="24"/>
          <w:szCs w:val="24"/>
        </w:rPr>
      </w:pPr>
      <w:r>
        <w:rPr>
          <w:rFonts w:ascii="Times New Roman" w:hAnsi="Times New Roman" w:cs="Times New Roman"/>
          <w:sz w:val="24"/>
          <w:szCs w:val="24"/>
        </w:rPr>
        <w:t xml:space="preserve">Pārskata periodā </w:t>
      </w:r>
      <w:r w:rsidRPr="00531406">
        <w:rPr>
          <w:rFonts w:ascii="Times New Roman" w:hAnsi="Times New Roman" w:cs="Times New Roman"/>
          <w:sz w:val="24"/>
          <w:szCs w:val="24"/>
        </w:rPr>
        <w:t xml:space="preserve">Aģentūra novērtēja atbilstību Noteikumu Nr. 1176 prasībām un izsniedza Audu un šūnu izmantošanas atļauju </w:t>
      </w:r>
      <w:r>
        <w:rPr>
          <w:rFonts w:ascii="Times New Roman" w:hAnsi="Times New Roman" w:cs="Times New Roman"/>
          <w:sz w:val="24"/>
          <w:szCs w:val="24"/>
        </w:rPr>
        <w:t>kaulaudu izmantošanas darbībām</w:t>
      </w:r>
      <w:r w:rsidRPr="008E57E8">
        <w:rPr>
          <w:rFonts w:ascii="Times New Roman" w:hAnsi="Times New Roman" w:cs="Times New Roman"/>
          <w:sz w:val="24"/>
          <w:szCs w:val="24"/>
        </w:rPr>
        <w:t xml:space="preserve"> </w:t>
      </w:r>
      <w:r w:rsidRPr="00531406">
        <w:rPr>
          <w:rFonts w:ascii="Times New Roman" w:hAnsi="Times New Roman" w:cs="Times New Roman"/>
          <w:sz w:val="24"/>
          <w:szCs w:val="24"/>
        </w:rPr>
        <w:t>jaun</w:t>
      </w:r>
      <w:r>
        <w:rPr>
          <w:rFonts w:ascii="Times New Roman" w:hAnsi="Times New Roman" w:cs="Times New Roman"/>
          <w:sz w:val="24"/>
          <w:szCs w:val="24"/>
        </w:rPr>
        <w:t>am</w:t>
      </w:r>
      <w:r w:rsidRPr="00531406">
        <w:rPr>
          <w:rFonts w:ascii="Times New Roman" w:hAnsi="Times New Roman" w:cs="Times New Roman"/>
          <w:sz w:val="24"/>
          <w:szCs w:val="24"/>
        </w:rPr>
        <w:t xml:space="preserve"> audu centr</w:t>
      </w:r>
      <w:r>
        <w:rPr>
          <w:rFonts w:ascii="Times New Roman" w:hAnsi="Times New Roman" w:cs="Times New Roman"/>
          <w:sz w:val="24"/>
          <w:szCs w:val="24"/>
        </w:rPr>
        <w:t xml:space="preserve">am. </w:t>
      </w:r>
      <w:r w:rsidRPr="00531406">
        <w:rPr>
          <w:rFonts w:ascii="Times New Roman" w:hAnsi="Times New Roman" w:cs="Times New Roman"/>
          <w:sz w:val="24"/>
          <w:szCs w:val="24"/>
        </w:rPr>
        <w:t xml:space="preserve"> </w:t>
      </w:r>
      <w:r>
        <w:rPr>
          <w:rFonts w:ascii="Times New Roman" w:hAnsi="Times New Roman" w:cs="Times New Roman"/>
          <w:sz w:val="24"/>
          <w:szCs w:val="24"/>
        </w:rPr>
        <w:t xml:space="preserve">Līdz ar to </w:t>
      </w:r>
      <w:r w:rsidRPr="00B20D72">
        <w:rPr>
          <w:rFonts w:ascii="Times New Roman" w:hAnsi="Times New Roman" w:cs="Times New Roman"/>
          <w:sz w:val="24"/>
          <w:szCs w:val="24"/>
        </w:rPr>
        <w:t>202</w:t>
      </w:r>
      <w:r>
        <w:rPr>
          <w:rFonts w:ascii="Times New Roman" w:hAnsi="Times New Roman" w:cs="Times New Roman"/>
          <w:sz w:val="24"/>
          <w:szCs w:val="24"/>
        </w:rPr>
        <w:t>2</w:t>
      </w:r>
      <w:r w:rsidRPr="00B20D72">
        <w:rPr>
          <w:rFonts w:ascii="Times New Roman" w:hAnsi="Times New Roman" w:cs="Times New Roman"/>
          <w:sz w:val="24"/>
          <w:szCs w:val="24"/>
        </w:rPr>
        <w:t>.</w:t>
      </w:r>
      <w:r w:rsidR="00D554B0">
        <w:rPr>
          <w:rFonts w:ascii="Times New Roman" w:hAnsi="Times New Roman" w:cs="Times New Roman"/>
          <w:sz w:val="24"/>
          <w:szCs w:val="24"/>
        </w:rPr>
        <w:t xml:space="preserve"> </w:t>
      </w:r>
      <w:r w:rsidRPr="00B20D72">
        <w:rPr>
          <w:rFonts w:ascii="Times New Roman" w:hAnsi="Times New Roman" w:cs="Times New Roman"/>
          <w:sz w:val="24"/>
          <w:szCs w:val="24"/>
        </w:rPr>
        <w:t xml:space="preserve">gada beigās nereproduktīvo audu un šūnu izmantošanas darbības bija tiesīgi veikt </w:t>
      </w:r>
      <w:r w:rsidR="00976009">
        <w:rPr>
          <w:rFonts w:ascii="Times New Roman" w:hAnsi="Times New Roman" w:cs="Times New Roman"/>
          <w:sz w:val="24"/>
          <w:szCs w:val="24"/>
        </w:rPr>
        <w:t>11</w:t>
      </w:r>
      <w:r w:rsidR="00976009" w:rsidRPr="00B20D72">
        <w:rPr>
          <w:rFonts w:ascii="Times New Roman" w:hAnsi="Times New Roman" w:cs="Times New Roman"/>
          <w:sz w:val="24"/>
          <w:szCs w:val="24"/>
        </w:rPr>
        <w:t xml:space="preserve"> </w:t>
      </w:r>
      <w:r w:rsidRPr="00B20D72">
        <w:rPr>
          <w:rFonts w:ascii="Times New Roman" w:hAnsi="Times New Roman" w:cs="Times New Roman"/>
          <w:sz w:val="24"/>
          <w:szCs w:val="24"/>
        </w:rPr>
        <w:t>audu centri.</w:t>
      </w:r>
    </w:p>
    <w:p w14:paraId="1AA0291A" w14:textId="77777777" w:rsidR="008E57E8" w:rsidRPr="00104215" w:rsidRDefault="008E57E8" w:rsidP="00EF3E81">
      <w:pPr>
        <w:jc w:val="both"/>
        <w:rPr>
          <w:rFonts w:ascii="Times New Roman" w:hAnsi="Times New Roman" w:cs="Times New Roman"/>
          <w:color w:val="FF0000"/>
          <w:sz w:val="24"/>
          <w:szCs w:val="24"/>
        </w:rPr>
      </w:pPr>
    </w:p>
    <w:p w14:paraId="7384354F" w14:textId="2450ED28" w:rsidR="009652A3" w:rsidRPr="00F547FB" w:rsidRDefault="009652A3" w:rsidP="009E0F52">
      <w:pPr>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t>Nereproduktīvo audu izmantošana</w:t>
      </w:r>
      <w:r w:rsidR="004B16ED" w:rsidRPr="00F547FB">
        <w:rPr>
          <w:rFonts w:ascii="Times New Roman" w:hAnsi="Times New Roman" w:cs="Times New Roman"/>
          <w:b/>
          <w:sz w:val="24"/>
          <w:szCs w:val="24"/>
          <w:u w:val="single"/>
        </w:rPr>
        <w:t xml:space="preserve">s </w:t>
      </w:r>
      <w:r w:rsidR="0015185D" w:rsidRPr="00F547FB">
        <w:rPr>
          <w:rFonts w:ascii="Times New Roman" w:hAnsi="Times New Roman" w:cs="Times New Roman"/>
          <w:b/>
          <w:sz w:val="24"/>
          <w:szCs w:val="24"/>
          <w:u w:val="single"/>
        </w:rPr>
        <w:t>darbības 20</w:t>
      </w:r>
      <w:r w:rsidR="00082156" w:rsidRPr="00F547FB">
        <w:rPr>
          <w:rFonts w:ascii="Times New Roman" w:hAnsi="Times New Roman" w:cs="Times New Roman"/>
          <w:b/>
          <w:sz w:val="24"/>
          <w:szCs w:val="24"/>
          <w:u w:val="single"/>
        </w:rPr>
        <w:t>2</w:t>
      </w:r>
      <w:r w:rsidR="00763EF1">
        <w:rPr>
          <w:rFonts w:ascii="Times New Roman" w:hAnsi="Times New Roman" w:cs="Times New Roman"/>
          <w:b/>
          <w:sz w:val="24"/>
          <w:szCs w:val="24"/>
          <w:u w:val="single"/>
        </w:rPr>
        <w:t>2</w:t>
      </w:r>
      <w:r w:rsidR="0015185D" w:rsidRPr="00F547FB">
        <w:rPr>
          <w:rFonts w:ascii="Times New Roman" w:hAnsi="Times New Roman" w:cs="Times New Roman"/>
          <w:b/>
          <w:sz w:val="24"/>
          <w:szCs w:val="24"/>
          <w:u w:val="single"/>
        </w:rPr>
        <w:t>.</w:t>
      </w:r>
      <w:r w:rsidR="00787BA6" w:rsidRPr="00F547FB">
        <w:rPr>
          <w:rFonts w:ascii="Times New Roman" w:hAnsi="Times New Roman" w:cs="Times New Roman"/>
          <w:b/>
          <w:sz w:val="24"/>
          <w:szCs w:val="24"/>
          <w:u w:val="single"/>
        </w:rPr>
        <w:t xml:space="preserve"> </w:t>
      </w:r>
      <w:r w:rsidR="0015185D" w:rsidRPr="00F547FB">
        <w:rPr>
          <w:rFonts w:ascii="Times New Roman" w:hAnsi="Times New Roman" w:cs="Times New Roman"/>
          <w:b/>
          <w:sz w:val="24"/>
          <w:szCs w:val="24"/>
          <w:u w:val="single"/>
        </w:rPr>
        <w:t>gadā salīdzinājumā ar 20</w:t>
      </w:r>
      <w:r w:rsidR="00723269" w:rsidRPr="00F547FB">
        <w:rPr>
          <w:rFonts w:ascii="Times New Roman" w:hAnsi="Times New Roman" w:cs="Times New Roman"/>
          <w:b/>
          <w:sz w:val="24"/>
          <w:szCs w:val="24"/>
          <w:u w:val="single"/>
        </w:rPr>
        <w:t>2</w:t>
      </w:r>
      <w:r w:rsidR="00763EF1">
        <w:rPr>
          <w:rFonts w:ascii="Times New Roman" w:hAnsi="Times New Roman" w:cs="Times New Roman"/>
          <w:b/>
          <w:sz w:val="24"/>
          <w:szCs w:val="24"/>
          <w:u w:val="single"/>
        </w:rPr>
        <w:t>1</w:t>
      </w:r>
      <w:r w:rsidR="0015185D" w:rsidRPr="00F547FB">
        <w:rPr>
          <w:rFonts w:ascii="Times New Roman" w:hAnsi="Times New Roman" w:cs="Times New Roman"/>
          <w:b/>
          <w:sz w:val="24"/>
          <w:szCs w:val="24"/>
          <w:u w:val="single"/>
        </w:rPr>
        <w:t>.</w:t>
      </w:r>
      <w:r w:rsidR="00787BA6" w:rsidRPr="00F547FB">
        <w:rPr>
          <w:rFonts w:ascii="Times New Roman" w:hAnsi="Times New Roman" w:cs="Times New Roman"/>
          <w:b/>
          <w:sz w:val="24"/>
          <w:szCs w:val="24"/>
          <w:u w:val="single"/>
        </w:rPr>
        <w:t xml:space="preserve"> </w:t>
      </w:r>
      <w:r w:rsidR="0015185D" w:rsidRPr="00F547FB">
        <w:rPr>
          <w:rFonts w:ascii="Times New Roman" w:hAnsi="Times New Roman" w:cs="Times New Roman"/>
          <w:b/>
          <w:sz w:val="24"/>
          <w:szCs w:val="24"/>
          <w:u w:val="single"/>
        </w:rPr>
        <w:t>gadu</w:t>
      </w:r>
    </w:p>
    <w:p w14:paraId="79B5A266" w14:textId="2FBAA8FE" w:rsidR="001B2281" w:rsidRPr="001B2281" w:rsidRDefault="00F547FB" w:rsidP="00787BA6">
      <w:pPr>
        <w:jc w:val="center"/>
        <w:rPr>
          <w:rFonts w:ascii="Times New Roman" w:hAnsi="Times New Roman" w:cs="Times New Roman"/>
          <w:b/>
          <w:sz w:val="24"/>
          <w:szCs w:val="24"/>
          <w:u w:val="single"/>
        </w:rPr>
      </w:pPr>
      <w:r>
        <w:rPr>
          <w:noProof/>
        </w:rPr>
        <w:drawing>
          <wp:inline distT="0" distB="0" distL="0" distR="0" wp14:anchorId="26F1F1BD" wp14:editId="3EB74B07">
            <wp:extent cx="6120130" cy="3233420"/>
            <wp:effectExtent l="0" t="0" r="13970" b="5080"/>
            <wp:docPr id="701388047" name="Chart 1">
              <a:extLst xmlns:a="http://schemas.openxmlformats.org/drawingml/2006/main">
                <a:ext uri="{FF2B5EF4-FFF2-40B4-BE49-F238E27FC236}">
                  <a16:creationId xmlns:a16="http://schemas.microsoft.com/office/drawing/2014/main" id="{8A753727-FC6D-4FFC-BF52-9C8FF7B3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33CBFA" w14:textId="7704FA55" w:rsidR="009E0F52" w:rsidRDefault="009E0F5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BE21BDE" w14:textId="4E2B4D5D" w:rsidR="00BB51C8" w:rsidRPr="00F547FB" w:rsidRDefault="00C1728E" w:rsidP="00787BA6">
      <w:pPr>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lastRenderedPageBreak/>
        <w:t xml:space="preserve">Acu audu izmantošana </w:t>
      </w:r>
      <w:r w:rsidR="00BB51C8" w:rsidRPr="00F547FB">
        <w:rPr>
          <w:rFonts w:ascii="Times New Roman" w:hAnsi="Times New Roman" w:cs="Times New Roman"/>
          <w:b/>
          <w:sz w:val="24"/>
          <w:szCs w:val="24"/>
          <w:u w:val="single"/>
        </w:rPr>
        <w:t>20</w:t>
      </w:r>
      <w:r w:rsidR="00082156" w:rsidRPr="00F547FB">
        <w:rPr>
          <w:rFonts w:ascii="Times New Roman" w:hAnsi="Times New Roman" w:cs="Times New Roman"/>
          <w:b/>
          <w:sz w:val="24"/>
          <w:szCs w:val="24"/>
          <w:u w:val="single"/>
        </w:rPr>
        <w:t>2</w:t>
      </w:r>
      <w:r w:rsidR="00763EF1">
        <w:rPr>
          <w:rFonts w:ascii="Times New Roman" w:hAnsi="Times New Roman" w:cs="Times New Roman"/>
          <w:b/>
          <w:sz w:val="24"/>
          <w:szCs w:val="24"/>
          <w:u w:val="single"/>
        </w:rPr>
        <w:t>2</w:t>
      </w:r>
      <w:r w:rsidR="00BB51C8" w:rsidRPr="00F547FB">
        <w:rPr>
          <w:rFonts w:ascii="Times New Roman" w:hAnsi="Times New Roman" w:cs="Times New Roman"/>
          <w:b/>
          <w:sz w:val="24"/>
          <w:szCs w:val="24"/>
          <w:u w:val="single"/>
        </w:rPr>
        <w:t>.</w:t>
      </w:r>
      <w:r w:rsidR="004C5363" w:rsidRPr="00F547FB">
        <w:rPr>
          <w:rFonts w:ascii="Times New Roman" w:hAnsi="Times New Roman" w:cs="Times New Roman"/>
          <w:b/>
          <w:sz w:val="24"/>
          <w:szCs w:val="24"/>
          <w:u w:val="single"/>
        </w:rPr>
        <w:t xml:space="preserve"> </w:t>
      </w:r>
      <w:r w:rsidR="00BB51C8" w:rsidRPr="00F547FB">
        <w:rPr>
          <w:rFonts w:ascii="Times New Roman" w:hAnsi="Times New Roman" w:cs="Times New Roman"/>
          <w:b/>
          <w:sz w:val="24"/>
          <w:szCs w:val="24"/>
          <w:u w:val="single"/>
        </w:rPr>
        <w:t xml:space="preserve">gadā </w:t>
      </w:r>
    </w:p>
    <w:p w14:paraId="140F3056" w14:textId="127019D5" w:rsidR="0088760F" w:rsidRDefault="00F547FB" w:rsidP="00C80E01">
      <w:pPr>
        <w:jc w:val="both"/>
        <w:rPr>
          <w:rFonts w:ascii="Times New Roman" w:hAnsi="Times New Roman" w:cs="Times New Roman"/>
          <w:sz w:val="24"/>
          <w:szCs w:val="24"/>
        </w:rPr>
      </w:pPr>
      <w:r>
        <w:rPr>
          <w:noProof/>
        </w:rPr>
        <w:drawing>
          <wp:inline distT="0" distB="0" distL="0" distR="0" wp14:anchorId="719BBC18" wp14:editId="1AFA8BDA">
            <wp:extent cx="6067425" cy="3638550"/>
            <wp:effectExtent l="0" t="0" r="9525" b="0"/>
            <wp:docPr id="1439160852"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90DCD6" w14:textId="40C3EAB5" w:rsidR="004E2838" w:rsidRDefault="004E2838" w:rsidP="002A3F78">
      <w:pPr>
        <w:jc w:val="center"/>
        <w:rPr>
          <w:rFonts w:ascii="Times New Roman" w:hAnsi="Times New Roman" w:cs="Times New Roman"/>
          <w:b/>
          <w:sz w:val="24"/>
          <w:szCs w:val="24"/>
          <w:u w:val="single"/>
        </w:rPr>
      </w:pPr>
    </w:p>
    <w:p w14:paraId="370FFE37" w14:textId="77777777" w:rsidR="009E0F52" w:rsidRDefault="009E0F52" w:rsidP="002A3F78">
      <w:pPr>
        <w:jc w:val="center"/>
        <w:rPr>
          <w:rFonts w:ascii="Times New Roman" w:hAnsi="Times New Roman" w:cs="Times New Roman"/>
          <w:b/>
          <w:sz w:val="24"/>
          <w:szCs w:val="24"/>
          <w:u w:val="single"/>
        </w:rPr>
      </w:pPr>
    </w:p>
    <w:p w14:paraId="2C24F72A" w14:textId="77777777" w:rsidR="000C128B" w:rsidRDefault="000C128B" w:rsidP="000C128B">
      <w:pPr>
        <w:jc w:val="center"/>
        <w:rPr>
          <w:rFonts w:ascii="Times New Roman" w:hAnsi="Times New Roman" w:cs="Times New Roman"/>
          <w:b/>
          <w:sz w:val="24"/>
          <w:szCs w:val="24"/>
          <w:u w:val="single"/>
        </w:rPr>
      </w:pPr>
      <w:r>
        <w:rPr>
          <w:rFonts w:ascii="Times New Roman" w:hAnsi="Times New Roman" w:cs="Times New Roman"/>
          <w:b/>
          <w:sz w:val="24"/>
          <w:szCs w:val="24"/>
          <w:u w:val="single"/>
        </w:rPr>
        <w:t>Kaulaudu</w:t>
      </w:r>
      <w:r w:rsidRPr="00F547FB">
        <w:rPr>
          <w:rFonts w:ascii="Times New Roman" w:hAnsi="Times New Roman" w:cs="Times New Roman"/>
          <w:b/>
          <w:sz w:val="24"/>
          <w:szCs w:val="24"/>
          <w:u w:val="single"/>
        </w:rPr>
        <w:t xml:space="preserve"> izmantošana 202</w:t>
      </w:r>
      <w:r>
        <w:rPr>
          <w:rFonts w:ascii="Times New Roman" w:hAnsi="Times New Roman" w:cs="Times New Roman"/>
          <w:b/>
          <w:sz w:val="24"/>
          <w:szCs w:val="24"/>
          <w:u w:val="single"/>
        </w:rPr>
        <w:t>2</w:t>
      </w:r>
      <w:r w:rsidRPr="00F547FB">
        <w:rPr>
          <w:rFonts w:ascii="Times New Roman" w:hAnsi="Times New Roman" w:cs="Times New Roman"/>
          <w:b/>
          <w:sz w:val="24"/>
          <w:szCs w:val="24"/>
          <w:u w:val="single"/>
        </w:rPr>
        <w:t xml:space="preserve">. gadā </w:t>
      </w:r>
    </w:p>
    <w:p w14:paraId="096DFF2B" w14:textId="715EA1E0" w:rsidR="000C128B" w:rsidRDefault="000C128B" w:rsidP="000C128B">
      <w:pPr>
        <w:jc w:val="center"/>
        <w:rPr>
          <w:rFonts w:ascii="Times New Roman" w:hAnsi="Times New Roman" w:cs="Times New Roman"/>
          <w:b/>
          <w:sz w:val="24"/>
          <w:szCs w:val="24"/>
          <w:u w:val="single"/>
        </w:rPr>
      </w:pPr>
      <w:r>
        <w:rPr>
          <w:noProof/>
        </w:rPr>
        <w:drawing>
          <wp:inline distT="0" distB="0" distL="0" distR="0" wp14:anchorId="56751505" wp14:editId="5B0C2462">
            <wp:extent cx="6000750" cy="3457575"/>
            <wp:effectExtent l="0" t="0" r="0" b="9525"/>
            <wp:docPr id="92989550"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2E249E" w14:textId="77777777" w:rsidR="000C128B" w:rsidRDefault="000C128B" w:rsidP="000C128B">
      <w:pPr>
        <w:jc w:val="center"/>
        <w:rPr>
          <w:rFonts w:ascii="Times New Roman" w:hAnsi="Times New Roman" w:cs="Times New Roman"/>
          <w:b/>
          <w:sz w:val="24"/>
          <w:szCs w:val="24"/>
          <w:u w:val="single"/>
        </w:rPr>
      </w:pPr>
    </w:p>
    <w:p w14:paraId="2F1A3B27" w14:textId="77777777" w:rsidR="000C128B" w:rsidRDefault="000C128B" w:rsidP="000C128B">
      <w:pPr>
        <w:jc w:val="center"/>
        <w:rPr>
          <w:rFonts w:ascii="Times New Roman" w:hAnsi="Times New Roman" w:cs="Times New Roman"/>
          <w:b/>
          <w:sz w:val="24"/>
          <w:szCs w:val="24"/>
          <w:u w:val="single"/>
        </w:rPr>
      </w:pPr>
    </w:p>
    <w:p w14:paraId="7757A07A" w14:textId="77777777" w:rsidR="000C128B" w:rsidRPr="00F547FB" w:rsidRDefault="000C128B" w:rsidP="000C128B">
      <w:pPr>
        <w:jc w:val="center"/>
        <w:rPr>
          <w:rFonts w:ascii="Times New Roman" w:hAnsi="Times New Roman" w:cs="Times New Roman"/>
          <w:b/>
          <w:sz w:val="24"/>
          <w:szCs w:val="24"/>
          <w:u w:val="single"/>
        </w:rPr>
      </w:pPr>
    </w:p>
    <w:p w14:paraId="20EF297F" w14:textId="36A59BC8" w:rsidR="002A3F78" w:rsidRPr="00F547FB" w:rsidRDefault="002A3F78" w:rsidP="002A3F78">
      <w:pPr>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t>Nabassaites asiņu un audu izmantošana 202</w:t>
      </w:r>
      <w:r w:rsidR="00763EF1">
        <w:rPr>
          <w:rFonts w:ascii="Times New Roman" w:hAnsi="Times New Roman" w:cs="Times New Roman"/>
          <w:b/>
          <w:sz w:val="24"/>
          <w:szCs w:val="24"/>
          <w:u w:val="single"/>
        </w:rPr>
        <w:t>2</w:t>
      </w:r>
      <w:r w:rsidRPr="00F547FB">
        <w:rPr>
          <w:rFonts w:ascii="Times New Roman" w:hAnsi="Times New Roman" w:cs="Times New Roman"/>
          <w:b/>
          <w:sz w:val="24"/>
          <w:szCs w:val="24"/>
          <w:u w:val="single"/>
        </w:rPr>
        <w:t xml:space="preserve">. gadā </w:t>
      </w:r>
    </w:p>
    <w:p w14:paraId="33C535B9" w14:textId="36E59A1B" w:rsidR="00D229D7" w:rsidRDefault="00F547FB" w:rsidP="00C80E01">
      <w:pPr>
        <w:jc w:val="both"/>
        <w:rPr>
          <w:rFonts w:ascii="Times New Roman" w:hAnsi="Times New Roman" w:cs="Times New Roman"/>
          <w:sz w:val="24"/>
          <w:szCs w:val="24"/>
        </w:rPr>
      </w:pPr>
      <w:r>
        <w:rPr>
          <w:noProof/>
        </w:rPr>
        <w:drawing>
          <wp:inline distT="0" distB="0" distL="0" distR="0" wp14:anchorId="2155BDBA" wp14:editId="715C39B8">
            <wp:extent cx="5934075" cy="4114800"/>
            <wp:effectExtent l="0" t="0" r="9525" b="0"/>
            <wp:docPr id="1909426268"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1ED2FC" w14:textId="77777777" w:rsidR="000C128B" w:rsidRDefault="000C128B" w:rsidP="009E0F52">
      <w:pPr>
        <w:jc w:val="both"/>
        <w:rPr>
          <w:rFonts w:ascii="Times New Roman" w:hAnsi="Times New Roman" w:cs="Times New Roman"/>
          <w:sz w:val="24"/>
          <w:szCs w:val="24"/>
        </w:rPr>
      </w:pPr>
    </w:p>
    <w:p w14:paraId="360EF1C2" w14:textId="77777777" w:rsidR="000C128B" w:rsidRDefault="000C128B" w:rsidP="009E0F52">
      <w:pPr>
        <w:jc w:val="both"/>
        <w:rPr>
          <w:rFonts w:ascii="Times New Roman" w:hAnsi="Times New Roman" w:cs="Times New Roman"/>
          <w:sz w:val="24"/>
          <w:szCs w:val="24"/>
        </w:rPr>
      </w:pPr>
    </w:p>
    <w:p w14:paraId="02FB49AB" w14:textId="77777777" w:rsidR="000C128B" w:rsidRDefault="000C128B" w:rsidP="009E0F52">
      <w:pPr>
        <w:jc w:val="both"/>
        <w:rPr>
          <w:rFonts w:ascii="Times New Roman" w:hAnsi="Times New Roman" w:cs="Times New Roman"/>
          <w:sz w:val="24"/>
          <w:szCs w:val="24"/>
        </w:rPr>
      </w:pPr>
    </w:p>
    <w:p w14:paraId="7415DE3C" w14:textId="6F71FCC7" w:rsidR="009E0F52" w:rsidRPr="00F547FB" w:rsidRDefault="00D554B0" w:rsidP="009E0F52">
      <w:pPr>
        <w:jc w:val="both"/>
        <w:rPr>
          <w:rFonts w:ascii="Times New Roman" w:hAnsi="Times New Roman" w:cs="Times New Roman"/>
          <w:sz w:val="24"/>
          <w:szCs w:val="24"/>
        </w:rPr>
      </w:pPr>
      <w:r>
        <w:rPr>
          <w:rFonts w:ascii="Times New Roman" w:hAnsi="Times New Roman" w:cs="Times New Roman"/>
          <w:sz w:val="24"/>
          <w:szCs w:val="24"/>
        </w:rPr>
        <w:t xml:space="preserve">Saskaņā ar informāciju, ko Aģentūra saņēma no audu centriem, </w:t>
      </w:r>
      <w:r w:rsidR="009E0F52" w:rsidRPr="00F547FB">
        <w:rPr>
          <w:rFonts w:ascii="Times New Roman" w:hAnsi="Times New Roman" w:cs="Times New Roman"/>
          <w:sz w:val="24"/>
          <w:szCs w:val="24"/>
        </w:rPr>
        <w:t>202</w:t>
      </w:r>
      <w:r w:rsidR="008E57E8" w:rsidRPr="00F547FB">
        <w:rPr>
          <w:rFonts w:ascii="Times New Roman" w:hAnsi="Times New Roman" w:cs="Times New Roman"/>
          <w:sz w:val="24"/>
          <w:szCs w:val="24"/>
        </w:rPr>
        <w:t>2</w:t>
      </w:r>
      <w:r w:rsidR="009E0F52" w:rsidRPr="00F547FB">
        <w:rPr>
          <w:rFonts w:ascii="Times New Roman" w:hAnsi="Times New Roman" w:cs="Times New Roman"/>
          <w:sz w:val="24"/>
          <w:szCs w:val="24"/>
        </w:rPr>
        <w:t>.</w:t>
      </w:r>
      <w:r>
        <w:rPr>
          <w:rFonts w:ascii="Times New Roman" w:hAnsi="Times New Roman" w:cs="Times New Roman"/>
          <w:sz w:val="24"/>
          <w:szCs w:val="24"/>
        </w:rPr>
        <w:t xml:space="preserve"> </w:t>
      </w:r>
      <w:r w:rsidR="009E0F52" w:rsidRPr="00F547FB">
        <w:rPr>
          <w:rFonts w:ascii="Times New Roman" w:hAnsi="Times New Roman" w:cs="Times New Roman"/>
          <w:sz w:val="24"/>
          <w:szCs w:val="24"/>
        </w:rPr>
        <w:t xml:space="preserve">gadā nav veikta audu un šūnu ieguve vairākos audu centros, jo nav bijis pieejams audu un šūnu veidam atbilstošs klīniskā pētījuma sponsors vai zāļu un/vai aktīvo vielu ražotājs, kam nodot iegūtos audus un šūnas. Pārskata periodā </w:t>
      </w:r>
      <w:r w:rsidR="00F547FB" w:rsidRPr="00F547FB">
        <w:rPr>
          <w:rFonts w:ascii="Times New Roman" w:hAnsi="Times New Roman" w:cs="Times New Roman"/>
          <w:sz w:val="24"/>
          <w:szCs w:val="24"/>
        </w:rPr>
        <w:t xml:space="preserve">audu centros </w:t>
      </w:r>
      <w:r w:rsidR="009E0F52" w:rsidRPr="00F547FB">
        <w:rPr>
          <w:rFonts w:ascii="Times New Roman" w:hAnsi="Times New Roman" w:cs="Times New Roman"/>
          <w:sz w:val="24"/>
          <w:szCs w:val="24"/>
        </w:rPr>
        <w:t>ir iegūts un nodots izmantošanai ārstniecības iestādē 1 kaula smadzeņu paraugs</w:t>
      </w:r>
      <w:r w:rsidR="00F547FB" w:rsidRPr="00F547FB">
        <w:rPr>
          <w:rFonts w:ascii="Times New Roman" w:hAnsi="Times New Roman" w:cs="Times New Roman"/>
          <w:sz w:val="24"/>
          <w:szCs w:val="24"/>
        </w:rPr>
        <w:t>, kā arī 6 cilvēk</w:t>
      </w:r>
      <w:r w:rsidR="00763EF1">
        <w:rPr>
          <w:rFonts w:ascii="Times New Roman" w:hAnsi="Times New Roman" w:cs="Times New Roman"/>
          <w:sz w:val="24"/>
          <w:szCs w:val="24"/>
        </w:rPr>
        <w:t>a</w:t>
      </w:r>
      <w:r w:rsidR="00F547FB" w:rsidRPr="00F547FB">
        <w:rPr>
          <w:rFonts w:ascii="Times New Roman" w:hAnsi="Times New Roman" w:cs="Times New Roman"/>
          <w:sz w:val="24"/>
          <w:szCs w:val="24"/>
        </w:rPr>
        <w:t xml:space="preserve"> placentas, kas paredzētas validācijas pēt</w:t>
      </w:r>
      <w:r w:rsidR="00763EF1">
        <w:rPr>
          <w:rFonts w:ascii="Times New Roman" w:hAnsi="Times New Roman" w:cs="Times New Roman"/>
          <w:sz w:val="24"/>
          <w:szCs w:val="24"/>
        </w:rPr>
        <w:t>ī</w:t>
      </w:r>
      <w:r w:rsidR="00F547FB" w:rsidRPr="00F547FB">
        <w:rPr>
          <w:rFonts w:ascii="Times New Roman" w:hAnsi="Times New Roman" w:cs="Times New Roman"/>
          <w:sz w:val="24"/>
          <w:szCs w:val="24"/>
        </w:rPr>
        <w:t>jumiem</w:t>
      </w:r>
      <w:r w:rsidR="009E0F52" w:rsidRPr="00F547FB">
        <w:rPr>
          <w:rFonts w:ascii="Times New Roman" w:hAnsi="Times New Roman" w:cs="Times New Roman"/>
          <w:sz w:val="24"/>
          <w:szCs w:val="24"/>
        </w:rPr>
        <w:t>.</w:t>
      </w:r>
    </w:p>
    <w:p w14:paraId="2028C965" w14:textId="1CEF549A" w:rsidR="000C128B" w:rsidRDefault="000C128B">
      <w:pPr>
        <w:rPr>
          <w:rFonts w:ascii="Times New Roman" w:hAnsi="Times New Roman" w:cs="Times New Roman"/>
          <w:sz w:val="24"/>
          <w:szCs w:val="24"/>
        </w:rPr>
      </w:pPr>
      <w:r>
        <w:rPr>
          <w:rFonts w:ascii="Times New Roman" w:hAnsi="Times New Roman" w:cs="Times New Roman"/>
          <w:sz w:val="24"/>
          <w:szCs w:val="24"/>
        </w:rPr>
        <w:br w:type="page"/>
      </w:r>
    </w:p>
    <w:p w14:paraId="248D5863" w14:textId="77777777" w:rsidR="009E0F52" w:rsidRDefault="009E0F52" w:rsidP="0088760F">
      <w:pPr>
        <w:rPr>
          <w:rFonts w:ascii="Times New Roman" w:hAnsi="Times New Roman" w:cs="Times New Roman"/>
          <w:sz w:val="24"/>
          <w:szCs w:val="24"/>
        </w:rPr>
      </w:pPr>
    </w:p>
    <w:p w14:paraId="3CBCBE08" w14:textId="6F5A9314" w:rsidR="00044334" w:rsidRPr="00FE17FC" w:rsidRDefault="00FE17FC" w:rsidP="004A4986">
      <w:pPr>
        <w:jc w:val="center"/>
        <w:rPr>
          <w:rFonts w:ascii="Times New Roman" w:hAnsi="Times New Roman" w:cs="Times New Roman"/>
          <w:color w:val="16355A"/>
          <w:sz w:val="28"/>
          <w:szCs w:val="24"/>
        </w:rPr>
      </w:pPr>
      <w:r w:rsidRPr="00FE17FC">
        <w:rPr>
          <w:rFonts w:ascii="Times New Roman" w:hAnsi="Times New Roman" w:cs="Times New Roman"/>
          <w:b/>
          <w:color w:val="16355A"/>
          <w:sz w:val="28"/>
          <w:szCs w:val="24"/>
        </w:rPr>
        <w:t>REPRODUKTĪVO AUDU UN ŠŪNU IZMANTOŠANA</w:t>
      </w:r>
    </w:p>
    <w:p w14:paraId="6A10BC3C" w14:textId="136CF361" w:rsidR="00B07F10" w:rsidRPr="00FD115C" w:rsidRDefault="00531406" w:rsidP="00B07F10">
      <w:pPr>
        <w:jc w:val="both"/>
        <w:rPr>
          <w:rFonts w:ascii="Times New Roman" w:hAnsi="Times New Roman" w:cs="Times New Roman"/>
          <w:sz w:val="24"/>
          <w:szCs w:val="24"/>
        </w:rPr>
      </w:pPr>
      <w:r w:rsidRPr="00FD115C">
        <w:rPr>
          <w:rFonts w:ascii="Times New Roman" w:hAnsi="Times New Roman" w:cs="Times New Roman"/>
          <w:sz w:val="24"/>
          <w:szCs w:val="24"/>
        </w:rPr>
        <w:t>20</w:t>
      </w:r>
      <w:r w:rsidR="00082156" w:rsidRPr="00FD115C">
        <w:rPr>
          <w:rFonts w:ascii="Times New Roman" w:hAnsi="Times New Roman" w:cs="Times New Roman"/>
          <w:sz w:val="24"/>
          <w:szCs w:val="24"/>
        </w:rPr>
        <w:t>2</w:t>
      </w:r>
      <w:r w:rsidR="00104215">
        <w:rPr>
          <w:rFonts w:ascii="Times New Roman" w:hAnsi="Times New Roman" w:cs="Times New Roman"/>
          <w:sz w:val="24"/>
          <w:szCs w:val="24"/>
        </w:rPr>
        <w:t>2</w:t>
      </w:r>
      <w:r w:rsidRPr="00FD115C">
        <w:rPr>
          <w:rFonts w:ascii="Times New Roman" w:hAnsi="Times New Roman" w:cs="Times New Roman"/>
          <w:sz w:val="24"/>
          <w:szCs w:val="24"/>
        </w:rPr>
        <w:t>.</w:t>
      </w:r>
      <w:r w:rsidR="00D554B0">
        <w:rPr>
          <w:rFonts w:ascii="Times New Roman" w:hAnsi="Times New Roman" w:cs="Times New Roman"/>
          <w:sz w:val="24"/>
          <w:szCs w:val="24"/>
        </w:rPr>
        <w:t xml:space="preserve"> </w:t>
      </w:r>
      <w:r w:rsidRPr="00FD115C">
        <w:rPr>
          <w:rFonts w:ascii="Times New Roman" w:hAnsi="Times New Roman" w:cs="Times New Roman"/>
          <w:sz w:val="24"/>
          <w:szCs w:val="24"/>
        </w:rPr>
        <w:t>gad</w:t>
      </w:r>
      <w:r w:rsidR="00B07EB9" w:rsidRPr="00FD115C">
        <w:rPr>
          <w:rFonts w:ascii="Times New Roman" w:hAnsi="Times New Roman" w:cs="Times New Roman"/>
          <w:sz w:val="24"/>
          <w:szCs w:val="24"/>
        </w:rPr>
        <w:t>ā</w:t>
      </w:r>
      <w:r w:rsidRPr="00FD115C">
        <w:rPr>
          <w:rFonts w:ascii="Times New Roman" w:hAnsi="Times New Roman" w:cs="Times New Roman"/>
          <w:sz w:val="24"/>
          <w:szCs w:val="24"/>
        </w:rPr>
        <w:t xml:space="preserve"> </w:t>
      </w:r>
      <w:r w:rsidR="00483113" w:rsidRPr="00FD115C">
        <w:rPr>
          <w:rFonts w:ascii="Times New Roman" w:hAnsi="Times New Roman" w:cs="Times New Roman"/>
          <w:sz w:val="24"/>
          <w:szCs w:val="24"/>
        </w:rPr>
        <w:t xml:space="preserve">medicīniski asistētās reprodukcijas </w:t>
      </w:r>
      <w:r w:rsidR="00B51A23" w:rsidRPr="00FD115C">
        <w:rPr>
          <w:rFonts w:ascii="Times New Roman" w:hAnsi="Times New Roman" w:cs="Times New Roman"/>
          <w:sz w:val="24"/>
          <w:szCs w:val="24"/>
        </w:rPr>
        <w:t xml:space="preserve">pakalpojumus nodrošināja </w:t>
      </w:r>
      <w:r w:rsidR="00460844" w:rsidRPr="00FD115C">
        <w:rPr>
          <w:rFonts w:ascii="Times New Roman" w:hAnsi="Times New Roman" w:cs="Times New Roman"/>
          <w:sz w:val="24"/>
          <w:szCs w:val="24"/>
        </w:rPr>
        <w:t>6</w:t>
      </w:r>
      <w:r w:rsidR="00B51A23" w:rsidRPr="00FD115C">
        <w:rPr>
          <w:rFonts w:ascii="Times New Roman" w:hAnsi="Times New Roman" w:cs="Times New Roman"/>
          <w:sz w:val="24"/>
          <w:szCs w:val="24"/>
        </w:rPr>
        <w:t xml:space="preserve"> audu centri</w:t>
      </w:r>
      <w:r w:rsidR="001A6358" w:rsidRPr="00FD115C">
        <w:rPr>
          <w:rFonts w:ascii="Times New Roman" w:hAnsi="Times New Roman" w:cs="Times New Roman"/>
          <w:sz w:val="24"/>
          <w:szCs w:val="24"/>
        </w:rPr>
        <w:t xml:space="preserve">, </w:t>
      </w:r>
      <w:r w:rsidR="00460844" w:rsidRPr="00FD115C">
        <w:rPr>
          <w:rFonts w:ascii="Times New Roman" w:hAnsi="Times New Roman" w:cs="Times New Roman"/>
          <w:sz w:val="24"/>
          <w:szCs w:val="24"/>
        </w:rPr>
        <w:t>vienam</w:t>
      </w:r>
      <w:r w:rsidR="001A6358" w:rsidRPr="00FD115C">
        <w:rPr>
          <w:rFonts w:ascii="Times New Roman" w:hAnsi="Times New Roman" w:cs="Times New Roman"/>
          <w:sz w:val="24"/>
          <w:szCs w:val="24"/>
        </w:rPr>
        <w:t xml:space="preserve"> no tiem ir atļauja </w:t>
      </w:r>
      <w:r w:rsidR="00254BA7" w:rsidRPr="00FD115C">
        <w:rPr>
          <w:rFonts w:ascii="Times New Roman" w:hAnsi="Times New Roman" w:cs="Times New Roman"/>
          <w:sz w:val="24"/>
          <w:szCs w:val="24"/>
        </w:rPr>
        <w:t xml:space="preserve">arī olnīcu un sēklinieku </w:t>
      </w:r>
      <w:r w:rsidR="001A6358" w:rsidRPr="00FD115C">
        <w:rPr>
          <w:rFonts w:ascii="Times New Roman" w:hAnsi="Times New Roman" w:cs="Times New Roman"/>
          <w:sz w:val="24"/>
          <w:szCs w:val="24"/>
        </w:rPr>
        <w:t>audu izmantošanas darbībām</w:t>
      </w:r>
      <w:r w:rsidR="00B51A23" w:rsidRPr="00FD115C">
        <w:rPr>
          <w:rFonts w:ascii="Times New Roman" w:hAnsi="Times New Roman" w:cs="Times New Roman"/>
          <w:sz w:val="24"/>
          <w:szCs w:val="24"/>
        </w:rPr>
        <w:t>.</w:t>
      </w:r>
      <w:r w:rsidR="00837935" w:rsidRPr="00FD115C">
        <w:rPr>
          <w:rFonts w:ascii="Times New Roman" w:hAnsi="Times New Roman" w:cs="Times New Roman"/>
          <w:sz w:val="24"/>
          <w:szCs w:val="24"/>
        </w:rPr>
        <w:t xml:space="preserve"> </w:t>
      </w:r>
      <w:r w:rsidR="00082156" w:rsidRPr="00FD115C">
        <w:rPr>
          <w:rFonts w:ascii="Times New Roman" w:hAnsi="Times New Roman" w:cs="Times New Roman"/>
          <w:sz w:val="24"/>
          <w:szCs w:val="24"/>
        </w:rPr>
        <w:t xml:space="preserve"> </w:t>
      </w:r>
      <w:r w:rsidR="00483113" w:rsidRPr="00FD115C">
        <w:rPr>
          <w:rFonts w:ascii="Times New Roman" w:hAnsi="Times New Roman" w:cs="Times New Roman"/>
          <w:sz w:val="24"/>
          <w:szCs w:val="24"/>
        </w:rPr>
        <w:t>202</w:t>
      </w:r>
      <w:r w:rsidR="00104215">
        <w:rPr>
          <w:rFonts w:ascii="Times New Roman" w:hAnsi="Times New Roman" w:cs="Times New Roman"/>
          <w:sz w:val="24"/>
          <w:szCs w:val="24"/>
        </w:rPr>
        <w:t>2</w:t>
      </w:r>
      <w:r w:rsidR="00483113" w:rsidRPr="00FD115C">
        <w:rPr>
          <w:rFonts w:ascii="Times New Roman" w:hAnsi="Times New Roman" w:cs="Times New Roman"/>
          <w:sz w:val="24"/>
          <w:szCs w:val="24"/>
        </w:rPr>
        <w:t>.</w:t>
      </w:r>
      <w:r w:rsidR="00D554B0">
        <w:rPr>
          <w:rFonts w:ascii="Times New Roman" w:hAnsi="Times New Roman" w:cs="Times New Roman"/>
          <w:sz w:val="24"/>
          <w:szCs w:val="24"/>
        </w:rPr>
        <w:t xml:space="preserve"> </w:t>
      </w:r>
      <w:r w:rsidR="00483113" w:rsidRPr="00FD115C">
        <w:rPr>
          <w:rFonts w:ascii="Times New Roman" w:hAnsi="Times New Roman" w:cs="Times New Roman"/>
          <w:sz w:val="24"/>
          <w:szCs w:val="24"/>
        </w:rPr>
        <w:t xml:space="preserve">gadā ārstniecības iestādēs medicīniski asistētās reprodukcijas procedūru </w:t>
      </w:r>
      <w:r w:rsidR="001B2281" w:rsidRPr="00FD115C">
        <w:rPr>
          <w:rFonts w:ascii="Times New Roman" w:hAnsi="Times New Roman" w:cs="Times New Roman"/>
          <w:sz w:val="24"/>
          <w:szCs w:val="24"/>
        </w:rPr>
        <w:t>skaits kopumā ir palielinājies</w:t>
      </w:r>
      <w:r w:rsidR="00C608D4" w:rsidRPr="00FD115C">
        <w:rPr>
          <w:rFonts w:ascii="Times New Roman" w:hAnsi="Times New Roman" w:cs="Times New Roman"/>
          <w:sz w:val="24"/>
          <w:szCs w:val="24"/>
        </w:rPr>
        <w:t>,</w:t>
      </w:r>
      <w:r w:rsidR="001B2281" w:rsidRPr="00FD115C">
        <w:rPr>
          <w:rFonts w:ascii="Times New Roman" w:hAnsi="Times New Roman" w:cs="Times New Roman"/>
          <w:sz w:val="24"/>
          <w:szCs w:val="24"/>
        </w:rPr>
        <w:t xml:space="preserve"> salīdzinot ar 202</w:t>
      </w:r>
      <w:r w:rsidR="00104215">
        <w:rPr>
          <w:rFonts w:ascii="Times New Roman" w:hAnsi="Times New Roman" w:cs="Times New Roman"/>
          <w:sz w:val="24"/>
          <w:szCs w:val="24"/>
        </w:rPr>
        <w:t>1</w:t>
      </w:r>
      <w:r w:rsidR="001B2281" w:rsidRPr="00FD115C">
        <w:rPr>
          <w:rFonts w:ascii="Times New Roman" w:hAnsi="Times New Roman" w:cs="Times New Roman"/>
          <w:sz w:val="24"/>
          <w:szCs w:val="24"/>
        </w:rPr>
        <w:t>.</w:t>
      </w:r>
      <w:r w:rsidR="00D554B0">
        <w:rPr>
          <w:rFonts w:ascii="Times New Roman" w:hAnsi="Times New Roman" w:cs="Times New Roman"/>
          <w:sz w:val="24"/>
          <w:szCs w:val="24"/>
        </w:rPr>
        <w:t xml:space="preserve"> </w:t>
      </w:r>
      <w:r w:rsidR="001B2281" w:rsidRPr="00FD115C">
        <w:rPr>
          <w:rFonts w:ascii="Times New Roman" w:hAnsi="Times New Roman" w:cs="Times New Roman"/>
          <w:sz w:val="24"/>
          <w:szCs w:val="24"/>
        </w:rPr>
        <w:t xml:space="preserve">gadu, </w:t>
      </w:r>
      <w:r w:rsidR="00104215">
        <w:rPr>
          <w:rFonts w:ascii="Times New Roman" w:hAnsi="Times New Roman" w:cs="Times New Roman"/>
          <w:sz w:val="24"/>
          <w:szCs w:val="24"/>
        </w:rPr>
        <w:t>tomēr vairākos audu centros tas vēl nav pieaudzis līdz līmenim</w:t>
      </w:r>
      <w:r w:rsidR="00244ECD">
        <w:rPr>
          <w:rFonts w:ascii="Times New Roman" w:hAnsi="Times New Roman" w:cs="Times New Roman"/>
          <w:sz w:val="24"/>
          <w:szCs w:val="24"/>
        </w:rPr>
        <w:t>, kāds bija</w:t>
      </w:r>
      <w:r w:rsidR="00104215">
        <w:rPr>
          <w:rFonts w:ascii="Times New Roman" w:hAnsi="Times New Roman" w:cs="Times New Roman"/>
          <w:sz w:val="24"/>
          <w:szCs w:val="24"/>
        </w:rPr>
        <w:t xml:space="preserve"> pirms</w:t>
      </w:r>
      <w:r w:rsidR="001B2281" w:rsidRPr="00FD115C">
        <w:rPr>
          <w:rFonts w:ascii="Times New Roman" w:hAnsi="Times New Roman" w:cs="Times New Roman"/>
          <w:sz w:val="24"/>
          <w:szCs w:val="24"/>
        </w:rPr>
        <w:t xml:space="preserve"> </w:t>
      </w:r>
      <w:r w:rsidR="00B07F10" w:rsidRPr="00FD115C">
        <w:rPr>
          <w:rFonts w:ascii="Times New Roman" w:hAnsi="Times New Roman" w:cs="Times New Roman"/>
          <w:sz w:val="24"/>
          <w:szCs w:val="24"/>
        </w:rPr>
        <w:t>Covid-19 pandēmij</w:t>
      </w:r>
      <w:r w:rsidR="00104215">
        <w:rPr>
          <w:rFonts w:ascii="Times New Roman" w:hAnsi="Times New Roman" w:cs="Times New Roman"/>
          <w:sz w:val="24"/>
          <w:szCs w:val="24"/>
        </w:rPr>
        <w:t xml:space="preserve">as. </w:t>
      </w:r>
      <w:r w:rsidR="00B07F10" w:rsidRPr="00FD115C">
        <w:rPr>
          <w:rFonts w:ascii="Times New Roman" w:hAnsi="Times New Roman" w:cs="Times New Roman"/>
          <w:sz w:val="24"/>
          <w:szCs w:val="24"/>
        </w:rPr>
        <w:t xml:space="preserve"> </w:t>
      </w:r>
    </w:p>
    <w:p w14:paraId="6227ACA9" w14:textId="77777777" w:rsidR="002A3F78" w:rsidRDefault="002A3F78" w:rsidP="00284D1F">
      <w:pPr>
        <w:jc w:val="center"/>
        <w:rPr>
          <w:rFonts w:ascii="Times New Roman" w:hAnsi="Times New Roman" w:cs="Times New Roman"/>
          <w:b/>
          <w:sz w:val="24"/>
          <w:szCs w:val="24"/>
          <w:u w:val="single"/>
        </w:rPr>
      </w:pPr>
    </w:p>
    <w:p w14:paraId="4D1EB69B" w14:textId="21D715B7" w:rsidR="00735253" w:rsidRPr="00F547FB" w:rsidRDefault="00883095" w:rsidP="00284D1F">
      <w:pPr>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t xml:space="preserve">Dzimumšūnu un embriju </w:t>
      </w:r>
      <w:r w:rsidR="00735253" w:rsidRPr="00F547FB">
        <w:rPr>
          <w:rFonts w:ascii="Times New Roman" w:hAnsi="Times New Roman" w:cs="Times New Roman"/>
          <w:b/>
          <w:sz w:val="24"/>
          <w:szCs w:val="24"/>
          <w:u w:val="single"/>
        </w:rPr>
        <w:t>izmantošanas darbības 20</w:t>
      </w:r>
      <w:r w:rsidR="00082156" w:rsidRPr="00F547FB">
        <w:rPr>
          <w:rFonts w:ascii="Times New Roman" w:hAnsi="Times New Roman" w:cs="Times New Roman"/>
          <w:b/>
          <w:sz w:val="24"/>
          <w:szCs w:val="24"/>
          <w:u w:val="single"/>
        </w:rPr>
        <w:t>2</w:t>
      </w:r>
      <w:r w:rsidR="00244ECD">
        <w:rPr>
          <w:rFonts w:ascii="Times New Roman" w:hAnsi="Times New Roman" w:cs="Times New Roman"/>
          <w:b/>
          <w:sz w:val="24"/>
          <w:szCs w:val="24"/>
          <w:u w:val="single"/>
        </w:rPr>
        <w:t>2</w:t>
      </w:r>
      <w:r w:rsidR="00735253" w:rsidRPr="00F547FB">
        <w:rPr>
          <w:rFonts w:ascii="Times New Roman" w:hAnsi="Times New Roman" w:cs="Times New Roman"/>
          <w:b/>
          <w:sz w:val="24"/>
          <w:szCs w:val="24"/>
          <w:u w:val="single"/>
        </w:rPr>
        <w:t>.</w:t>
      </w:r>
      <w:r w:rsidR="00284D1F" w:rsidRPr="00F547FB">
        <w:rPr>
          <w:rFonts w:ascii="Times New Roman" w:hAnsi="Times New Roman" w:cs="Times New Roman"/>
          <w:b/>
          <w:sz w:val="24"/>
          <w:szCs w:val="24"/>
          <w:u w:val="single"/>
        </w:rPr>
        <w:t xml:space="preserve"> </w:t>
      </w:r>
      <w:r w:rsidR="00735253" w:rsidRPr="00F547FB">
        <w:rPr>
          <w:rFonts w:ascii="Times New Roman" w:hAnsi="Times New Roman" w:cs="Times New Roman"/>
          <w:b/>
          <w:sz w:val="24"/>
          <w:szCs w:val="24"/>
          <w:u w:val="single"/>
        </w:rPr>
        <w:t>gadā salīdzinājumā ar 20</w:t>
      </w:r>
      <w:r w:rsidR="00723269" w:rsidRPr="00F547FB">
        <w:rPr>
          <w:rFonts w:ascii="Times New Roman" w:hAnsi="Times New Roman" w:cs="Times New Roman"/>
          <w:b/>
          <w:sz w:val="24"/>
          <w:szCs w:val="24"/>
          <w:u w:val="single"/>
        </w:rPr>
        <w:t>2</w:t>
      </w:r>
      <w:r w:rsidR="00244ECD">
        <w:rPr>
          <w:rFonts w:ascii="Times New Roman" w:hAnsi="Times New Roman" w:cs="Times New Roman"/>
          <w:b/>
          <w:sz w:val="24"/>
          <w:szCs w:val="24"/>
          <w:u w:val="single"/>
        </w:rPr>
        <w:t>1</w:t>
      </w:r>
      <w:r w:rsidR="00735253" w:rsidRPr="00F547FB">
        <w:rPr>
          <w:rFonts w:ascii="Times New Roman" w:hAnsi="Times New Roman" w:cs="Times New Roman"/>
          <w:b/>
          <w:sz w:val="24"/>
          <w:szCs w:val="24"/>
          <w:u w:val="single"/>
        </w:rPr>
        <w:t>.</w:t>
      </w:r>
      <w:r w:rsidR="00284D1F" w:rsidRPr="00F547FB">
        <w:rPr>
          <w:rFonts w:ascii="Times New Roman" w:hAnsi="Times New Roman" w:cs="Times New Roman"/>
          <w:b/>
          <w:sz w:val="24"/>
          <w:szCs w:val="24"/>
          <w:u w:val="single"/>
        </w:rPr>
        <w:t xml:space="preserve"> </w:t>
      </w:r>
      <w:r w:rsidR="00735253" w:rsidRPr="00F547FB">
        <w:rPr>
          <w:rFonts w:ascii="Times New Roman" w:hAnsi="Times New Roman" w:cs="Times New Roman"/>
          <w:b/>
          <w:sz w:val="24"/>
          <w:szCs w:val="24"/>
          <w:u w:val="single"/>
        </w:rPr>
        <w:t>gadu</w:t>
      </w:r>
    </w:p>
    <w:p w14:paraId="2D893024" w14:textId="77777777" w:rsidR="002A3F78" w:rsidRPr="002A3F78" w:rsidRDefault="002A3F78" w:rsidP="00284D1F">
      <w:pPr>
        <w:jc w:val="center"/>
        <w:rPr>
          <w:rFonts w:ascii="Times New Roman" w:hAnsi="Times New Roman" w:cs="Times New Roman"/>
          <w:b/>
          <w:sz w:val="24"/>
          <w:szCs w:val="24"/>
          <w:u w:val="single"/>
        </w:rPr>
      </w:pPr>
    </w:p>
    <w:p w14:paraId="2E502D21" w14:textId="73C4BE3A" w:rsidR="00D161F2" w:rsidRPr="0016729F" w:rsidRDefault="00F547FB" w:rsidP="0016729F">
      <w:pPr>
        <w:jc w:val="both"/>
        <w:rPr>
          <w:rFonts w:ascii="Times New Roman" w:hAnsi="Times New Roman" w:cs="Times New Roman"/>
          <w:sz w:val="24"/>
          <w:szCs w:val="24"/>
        </w:rPr>
      </w:pPr>
      <w:r>
        <w:rPr>
          <w:noProof/>
        </w:rPr>
        <w:drawing>
          <wp:inline distT="0" distB="0" distL="0" distR="0" wp14:anchorId="5DC2A537" wp14:editId="5D710009">
            <wp:extent cx="6120130" cy="4722495"/>
            <wp:effectExtent l="0" t="0" r="13970" b="1905"/>
            <wp:docPr id="315491866"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C16E7" w14:textId="4B4C56A9" w:rsidR="00A20EB7" w:rsidRDefault="00F547FB" w:rsidP="0088760F">
      <w:pPr>
        <w:tabs>
          <w:tab w:val="left" w:pos="2025"/>
        </w:tabs>
        <w:rPr>
          <w:rFonts w:ascii="Times New Roman" w:hAnsi="Times New Roman" w:cs="Times New Roman"/>
          <w:b/>
          <w:noProof/>
          <w:sz w:val="24"/>
          <w:szCs w:val="24"/>
          <w:lang w:val="en-US"/>
        </w:rPr>
      </w:pPr>
      <w:r>
        <w:rPr>
          <w:noProof/>
        </w:rPr>
        <w:lastRenderedPageBreak/>
        <w:drawing>
          <wp:inline distT="0" distB="0" distL="0" distR="0" wp14:anchorId="4AA568B0" wp14:editId="5F2EB6E2">
            <wp:extent cx="6120130" cy="4722495"/>
            <wp:effectExtent l="0" t="0" r="13970" b="1905"/>
            <wp:docPr id="1290871589" name="Chart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69991C" w14:textId="55BB11C6" w:rsidR="00A20EB7" w:rsidRDefault="00A20EB7" w:rsidP="0088760F">
      <w:pPr>
        <w:tabs>
          <w:tab w:val="left" w:pos="2025"/>
        </w:tabs>
        <w:rPr>
          <w:rFonts w:ascii="Times New Roman" w:hAnsi="Times New Roman" w:cs="Times New Roman"/>
          <w:b/>
          <w:noProof/>
          <w:color w:val="FF0000"/>
          <w:sz w:val="24"/>
          <w:szCs w:val="24"/>
          <w:lang w:val="en-US"/>
        </w:rPr>
      </w:pPr>
    </w:p>
    <w:p w14:paraId="04A5AF07" w14:textId="767FCABC" w:rsidR="00EA3AEF" w:rsidRPr="00883095" w:rsidRDefault="00F547FB" w:rsidP="0088760F">
      <w:pPr>
        <w:tabs>
          <w:tab w:val="left" w:pos="2025"/>
        </w:tabs>
        <w:rPr>
          <w:rFonts w:ascii="Times New Roman" w:hAnsi="Times New Roman" w:cs="Times New Roman"/>
          <w:b/>
          <w:noProof/>
          <w:color w:val="FF0000"/>
          <w:sz w:val="24"/>
          <w:szCs w:val="24"/>
          <w:lang w:val="en-US"/>
        </w:rPr>
      </w:pPr>
      <w:r>
        <w:rPr>
          <w:noProof/>
        </w:rPr>
        <w:drawing>
          <wp:inline distT="0" distB="0" distL="0" distR="0" wp14:anchorId="1F917B52" wp14:editId="7C490DF2">
            <wp:extent cx="6120130" cy="3807460"/>
            <wp:effectExtent l="0" t="0" r="13970" b="2540"/>
            <wp:docPr id="1245960062" name="Chart 1">
              <a:extLst xmlns:a="http://schemas.openxmlformats.org/drawingml/2006/main">
                <a:ext uri="{FF2B5EF4-FFF2-40B4-BE49-F238E27FC236}">
                  <a16:creationId xmlns:a16="http://schemas.microsoft.com/office/drawing/2014/main" id="{690A510D-3D2A-4A25-80BC-4DDB2CFCC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4BDF78" w14:textId="57E57171" w:rsidR="00883095" w:rsidRPr="00F547FB" w:rsidRDefault="00883095" w:rsidP="00883095">
      <w:pPr>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lastRenderedPageBreak/>
        <w:t>Reproduktīvo audu izmantošanas darbības 20</w:t>
      </w:r>
      <w:r w:rsidR="00082156" w:rsidRPr="00F547FB">
        <w:rPr>
          <w:rFonts w:ascii="Times New Roman" w:hAnsi="Times New Roman" w:cs="Times New Roman"/>
          <w:b/>
          <w:sz w:val="24"/>
          <w:szCs w:val="24"/>
          <w:u w:val="single"/>
        </w:rPr>
        <w:t>2</w:t>
      </w:r>
      <w:r w:rsidR="00244ECD">
        <w:rPr>
          <w:rFonts w:ascii="Times New Roman" w:hAnsi="Times New Roman" w:cs="Times New Roman"/>
          <w:b/>
          <w:sz w:val="24"/>
          <w:szCs w:val="24"/>
          <w:u w:val="single"/>
        </w:rPr>
        <w:t>2</w:t>
      </w:r>
      <w:r w:rsidRPr="00F547FB">
        <w:rPr>
          <w:rFonts w:ascii="Times New Roman" w:hAnsi="Times New Roman" w:cs="Times New Roman"/>
          <w:b/>
          <w:sz w:val="24"/>
          <w:szCs w:val="24"/>
          <w:u w:val="single"/>
        </w:rPr>
        <w:t>. gadā salīdzinājumā ar 20</w:t>
      </w:r>
      <w:r w:rsidR="00723269" w:rsidRPr="00F547FB">
        <w:rPr>
          <w:rFonts w:ascii="Times New Roman" w:hAnsi="Times New Roman" w:cs="Times New Roman"/>
          <w:b/>
          <w:sz w:val="24"/>
          <w:szCs w:val="24"/>
          <w:u w:val="single"/>
        </w:rPr>
        <w:t>2</w:t>
      </w:r>
      <w:r w:rsidR="00244ECD">
        <w:rPr>
          <w:rFonts w:ascii="Times New Roman" w:hAnsi="Times New Roman" w:cs="Times New Roman"/>
          <w:b/>
          <w:sz w:val="24"/>
          <w:szCs w:val="24"/>
          <w:u w:val="single"/>
        </w:rPr>
        <w:t>1</w:t>
      </w:r>
      <w:r w:rsidRPr="00F547FB">
        <w:rPr>
          <w:rFonts w:ascii="Times New Roman" w:hAnsi="Times New Roman" w:cs="Times New Roman"/>
          <w:b/>
          <w:sz w:val="24"/>
          <w:szCs w:val="24"/>
          <w:u w:val="single"/>
        </w:rPr>
        <w:t>. gadu</w:t>
      </w:r>
    </w:p>
    <w:p w14:paraId="591E47A9" w14:textId="40AEC849" w:rsidR="00BF5F76" w:rsidRPr="002A3F78" w:rsidRDefault="00F547FB" w:rsidP="00883095">
      <w:pPr>
        <w:jc w:val="center"/>
        <w:rPr>
          <w:rFonts w:ascii="Times New Roman" w:hAnsi="Times New Roman" w:cs="Times New Roman"/>
          <w:b/>
          <w:sz w:val="24"/>
          <w:szCs w:val="24"/>
          <w:u w:val="single"/>
        </w:rPr>
      </w:pPr>
      <w:r>
        <w:rPr>
          <w:noProof/>
        </w:rPr>
        <w:drawing>
          <wp:inline distT="0" distB="0" distL="0" distR="0" wp14:anchorId="0C467536" wp14:editId="7CCDA4F7">
            <wp:extent cx="6120130" cy="3395345"/>
            <wp:effectExtent l="0" t="0" r="13970" b="14605"/>
            <wp:docPr id="566289732" name="Chart 1">
              <a:extLst xmlns:a="http://schemas.openxmlformats.org/drawingml/2006/main">
                <a:ext uri="{FF2B5EF4-FFF2-40B4-BE49-F238E27FC236}">
                  <a16:creationId xmlns:a16="http://schemas.microsoft.com/office/drawing/2014/main" id="{1A0E2446-AC47-4713-B6AE-347909D6B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B29763" w14:textId="2850DD53" w:rsidR="005853E4" w:rsidRDefault="005853E4" w:rsidP="0088760F">
      <w:pPr>
        <w:tabs>
          <w:tab w:val="left" w:pos="2025"/>
        </w:tabs>
        <w:rPr>
          <w:rFonts w:ascii="Times New Roman" w:hAnsi="Times New Roman" w:cs="Times New Roman"/>
          <w:b/>
          <w:noProof/>
          <w:sz w:val="24"/>
          <w:szCs w:val="24"/>
          <w:lang w:val="en-US"/>
        </w:rPr>
      </w:pPr>
    </w:p>
    <w:p w14:paraId="730B9D54" w14:textId="2BA21012" w:rsidR="009A6F0E" w:rsidRDefault="009A6F0E" w:rsidP="0043785E">
      <w:pPr>
        <w:tabs>
          <w:tab w:val="left" w:pos="567"/>
        </w:tabs>
        <w:rPr>
          <w:rFonts w:ascii="Times New Roman" w:hAnsi="Times New Roman" w:cs="Times New Roman"/>
          <w:b/>
          <w:color w:val="FF0000"/>
          <w:sz w:val="24"/>
          <w:szCs w:val="24"/>
          <w:u w:val="single"/>
        </w:rPr>
      </w:pPr>
    </w:p>
    <w:p w14:paraId="340B3542" w14:textId="1848F1BC" w:rsidR="009E0F52" w:rsidRPr="00F547FB" w:rsidRDefault="009A6F0E" w:rsidP="009A6F0E">
      <w:pPr>
        <w:tabs>
          <w:tab w:val="left" w:pos="567"/>
        </w:tabs>
        <w:jc w:val="center"/>
        <w:rPr>
          <w:rFonts w:ascii="Times New Roman" w:hAnsi="Times New Roman" w:cs="Times New Roman"/>
          <w:b/>
          <w:sz w:val="24"/>
          <w:szCs w:val="24"/>
          <w:u w:val="single"/>
        </w:rPr>
      </w:pPr>
      <w:r w:rsidRPr="00F547FB">
        <w:rPr>
          <w:rFonts w:ascii="Times New Roman" w:hAnsi="Times New Roman" w:cs="Times New Roman"/>
          <w:b/>
          <w:sz w:val="24"/>
          <w:szCs w:val="24"/>
          <w:u w:val="single"/>
        </w:rPr>
        <w:t>Reproduktīvo audu izmantošanas darbības pa audu veidiem</w:t>
      </w:r>
      <w:r w:rsidR="00723269" w:rsidRPr="00F547FB">
        <w:rPr>
          <w:rFonts w:ascii="Times New Roman" w:hAnsi="Times New Roman" w:cs="Times New Roman"/>
          <w:b/>
          <w:sz w:val="24"/>
          <w:szCs w:val="24"/>
          <w:u w:val="single"/>
        </w:rPr>
        <w:t xml:space="preserve"> 202</w:t>
      </w:r>
      <w:r w:rsidR="00244ECD">
        <w:rPr>
          <w:rFonts w:ascii="Times New Roman" w:hAnsi="Times New Roman" w:cs="Times New Roman"/>
          <w:b/>
          <w:sz w:val="24"/>
          <w:szCs w:val="24"/>
          <w:u w:val="single"/>
        </w:rPr>
        <w:t>2</w:t>
      </w:r>
      <w:r w:rsidR="00723269" w:rsidRPr="00F547FB">
        <w:rPr>
          <w:rFonts w:ascii="Times New Roman" w:hAnsi="Times New Roman" w:cs="Times New Roman"/>
          <w:b/>
          <w:sz w:val="24"/>
          <w:szCs w:val="24"/>
          <w:u w:val="single"/>
        </w:rPr>
        <w:t>.gadā</w:t>
      </w:r>
    </w:p>
    <w:p w14:paraId="064EC4E2" w14:textId="0A052B2A" w:rsidR="005853E4" w:rsidRPr="00FF5FAB" w:rsidRDefault="00F547FB" w:rsidP="009A6F0E">
      <w:pPr>
        <w:tabs>
          <w:tab w:val="left" w:pos="567"/>
        </w:tabs>
        <w:jc w:val="center"/>
        <w:rPr>
          <w:rFonts w:ascii="Times New Roman" w:hAnsi="Times New Roman" w:cs="Times New Roman"/>
          <w:b/>
          <w:sz w:val="24"/>
          <w:szCs w:val="24"/>
          <w:u w:val="single"/>
        </w:rPr>
      </w:pPr>
      <w:r>
        <w:rPr>
          <w:noProof/>
        </w:rPr>
        <w:drawing>
          <wp:inline distT="0" distB="0" distL="0" distR="0" wp14:anchorId="03559F63" wp14:editId="4E1B3EF8">
            <wp:extent cx="6120130" cy="3198495"/>
            <wp:effectExtent l="0" t="0" r="13970" b="1905"/>
            <wp:docPr id="1228419282" name="Chart 1">
              <a:extLst xmlns:a="http://schemas.openxmlformats.org/drawingml/2006/main">
                <a:ext uri="{FF2B5EF4-FFF2-40B4-BE49-F238E27FC236}">
                  <a16:creationId xmlns:a16="http://schemas.microsoft.com/office/drawing/2014/main" id="{C533B974-E95F-47FC-ADC5-8ADCF11FA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36A674" w14:textId="77777777" w:rsidR="009E0F52" w:rsidRDefault="009E0F52" w:rsidP="009E0F52">
      <w:pPr>
        <w:jc w:val="both"/>
        <w:rPr>
          <w:rFonts w:ascii="Times New Roman" w:hAnsi="Times New Roman" w:cs="Times New Roman"/>
          <w:sz w:val="24"/>
          <w:szCs w:val="24"/>
        </w:rPr>
      </w:pPr>
    </w:p>
    <w:p w14:paraId="0F35C4FD" w14:textId="159CB53B" w:rsidR="004162E5" w:rsidRPr="009E0F52" w:rsidRDefault="009E0F52" w:rsidP="009E0F52">
      <w:pPr>
        <w:jc w:val="both"/>
        <w:rPr>
          <w:rFonts w:ascii="Times New Roman" w:hAnsi="Times New Roman" w:cs="Times New Roman"/>
          <w:sz w:val="24"/>
          <w:szCs w:val="24"/>
        </w:rPr>
      </w:pPr>
      <w:r w:rsidRPr="00FD115C">
        <w:rPr>
          <w:rFonts w:ascii="Times New Roman" w:hAnsi="Times New Roman" w:cs="Times New Roman"/>
          <w:sz w:val="24"/>
          <w:szCs w:val="24"/>
        </w:rPr>
        <w:t xml:space="preserve">Kopš 2016. gada ir uzglabāšanā </w:t>
      </w:r>
      <w:proofErr w:type="spellStart"/>
      <w:r w:rsidRPr="00FD115C">
        <w:rPr>
          <w:rFonts w:ascii="Times New Roman" w:hAnsi="Times New Roman" w:cs="Times New Roman"/>
          <w:sz w:val="24"/>
          <w:szCs w:val="24"/>
        </w:rPr>
        <w:t>kriokonservēts</w:t>
      </w:r>
      <w:proofErr w:type="spellEnd"/>
      <w:r w:rsidRPr="00FD115C">
        <w:rPr>
          <w:rFonts w:ascii="Times New Roman" w:hAnsi="Times New Roman" w:cs="Times New Roman"/>
          <w:sz w:val="24"/>
          <w:szCs w:val="24"/>
        </w:rPr>
        <w:t xml:space="preserve"> olnīcu audu paraugs vienai pacientei, citas olnīcu audu izmantošanas darbības nav bijušas, un audu centrs tās 2021.</w:t>
      </w:r>
      <w:r w:rsidR="00D554B0">
        <w:rPr>
          <w:rFonts w:ascii="Times New Roman" w:hAnsi="Times New Roman" w:cs="Times New Roman"/>
          <w:sz w:val="24"/>
          <w:szCs w:val="24"/>
        </w:rPr>
        <w:t xml:space="preserve"> </w:t>
      </w:r>
      <w:r w:rsidRPr="00FD115C">
        <w:rPr>
          <w:rFonts w:ascii="Times New Roman" w:hAnsi="Times New Roman" w:cs="Times New Roman"/>
          <w:sz w:val="24"/>
          <w:szCs w:val="24"/>
        </w:rPr>
        <w:t>gadā ir pārtraucis, saņemot jaunu atbilstoši papildinātu atļauju saistībā ar darbības izmaiņām.</w:t>
      </w:r>
    </w:p>
    <w:sectPr w:rsidR="004162E5" w:rsidRPr="009E0F52" w:rsidSect="009373EB">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12A1" w14:textId="77777777" w:rsidR="009373EB" w:rsidRDefault="009373EB" w:rsidP="007E0516">
      <w:pPr>
        <w:spacing w:after="0" w:line="240" w:lineRule="auto"/>
      </w:pPr>
      <w:r>
        <w:separator/>
      </w:r>
    </w:p>
  </w:endnote>
  <w:endnote w:type="continuationSeparator" w:id="0">
    <w:p w14:paraId="21010D93" w14:textId="77777777" w:rsidR="009373EB" w:rsidRDefault="009373EB" w:rsidP="007E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2F0B" w14:textId="77777777" w:rsidR="009373EB" w:rsidRDefault="009373EB" w:rsidP="007E0516">
      <w:pPr>
        <w:spacing w:after="0" w:line="240" w:lineRule="auto"/>
      </w:pPr>
      <w:r>
        <w:separator/>
      </w:r>
    </w:p>
  </w:footnote>
  <w:footnote w:type="continuationSeparator" w:id="0">
    <w:p w14:paraId="508B1097" w14:textId="77777777" w:rsidR="009373EB" w:rsidRDefault="009373EB" w:rsidP="007E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2746"/>
    <w:multiLevelType w:val="hybridMultilevel"/>
    <w:tmpl w:val="D8DAA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33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44"/>
    <w:rsid w:val="00007A01"/>
    <w:rsid w:val="00011AE1"/>
    <w:rsid w:val="000143BC"/>
    <w:rsid w:val="00016770"/>
    <w:rsid w:val="00021F29"/>
    <w:rsid w:val="0002366B"/>
    <w:rsid w:val="00031AA0"/>
    <w:rsid w:val="00034F7C"/>
    <w:rsid w:val="00044334"/>
    <w:rsid w:val="00047916"/>
    <w:rsid w:val="000511C5"/>
    <w:rsid w:val="000674D7"/>
    <w:rsid w:val="00080CD5"/>
    <w:rsid w:val="00082156"/>
    <w:rsid w:val="00086BA6"/>
    <w:rsid w:val="000958B1"/>
    <w:rsid w:val="00097520"/>
    <w:rsid w:val="000A1A01"/>
    <w:rsid w:val="000A3B05"/>
    <w:rsid w:val="000A768A"/>
    <w:rsid w:val="000B1C3E"/>
    <w:rsid w:val="000B2A87"/>
    <w:rsid w:val="000B43A1"/>
    <w:rsid w:val="000B6621"/>
    <w:rsid w:val="000C128B"/>
    <w:rsid w:val="000C45A3"/>
    <w:rsid w:val="000D1956"/>
    <w:rsid w:val="000E4421"/>
    <w:rsid w:val="000F410E"/>
    <w:rsid w:val="00101049"/>
    <w:rsid w:val="0010153B"/>
    <w:rsid w:val="00103A23"/>
    <w:rsid w:val="00104215"/>
    <w:rsid w:val="00106DDA"/>
    <w:rsid w:val="00120470"/>
    <w:rsid w:val="001208CF"/>
    <w:rsid w:val="00122F31"/>
    <w:rsid w:val="00124EBA"/>
    <w:rsid w:val="00126BF3"/>
    <w:rsid w:val="00136642"/>
    <w:rsid w:val="001416C4"/>
    <w:rsid w:val="001451DC"/>
    <w:rsid w:val="00146BD1"/>
    <w:rsid w:val="0015185D"/>
    <w:rsid w:val="00153CD3"/>
    <w:rsid w:val="0016729F"/>
    <w:rsid w:val="00167E62"/>
    <w:rsid w:val="001701B2"/>
    <w:rsid w:val="00170EBE"/>
    <w:rsid w:val="00187269"/>
    <w:rsid w:val="001A6358"/>
    <w:rsid w:val="001B2281"/>
    <w:rsid w:val="001B2BB5"/>
    <w:rsid w:val="001C070B"/>
    <w:rsid w:val="001C25C1"/>
    <w:rsid w:val="001D27C7"/>
    <w:rsid w:val="001D5F0F"/>
    <w:rsid w:val="001D760A"/>
    <w:rsid w:val="001E3230"/>
    <w:rsid w:val="001E5052"/>
    <w:rsid w:val="001F0039"/>
    <w:rsid w:val="001F2DA4"/>
    <w:rsid w:val="001F47E0"/>
    <w:rsid w:val="001F565A"/>
    <w:rsid w:val="001F7D91"/>
    <w:rsid w:val="00212506"/>
    <w:rsid w:val="00213848"/>
    <w:rsid w:val="00221B34"/>
    <w:rsid w:val="002410F7"/>
    <w:rsid w:val="00243B61"/>
    <w:rsid w:val="00244ECD"/>
    <w:rsid w:val="00247247"/>
    <w:rsid w:val="002536AC"/>
    <w:rsid w:val="00254BA7"/>
    <w:rsid w:val="0026695B"/>
    <w:rsid w:val="00273331"/>
    <w:rsid w:val="0027502D"/>
    <w:rsid w:val="00283978"/>
    <w:rsid w:val="00284D1F"/>
    <w:rsid w:val="0028638E"/>
    <w:rsid w:val="00292A72"/>
    <w:rsid w:val="002A3F78"/>
    <w:rsid w:val="002A5803"/>
    <w:rsid w:val="002C079D"/>
    <w:rsid w:val="002C3E53"/>
    <w:rsid w:val="002E0490"/>
    <w:rsid w:val="002E0774"/>
    <w:rsid w:val="002E4D58"/>
    <w:rsid w:val="002F0956"/>
    <w:rsid w:val="002F29BF"/>
    <w:rsid w:val="00313380"/>
    <w:rsid w:val="003235BD"/>
    <w:rsid w:val="00330813"/>
    <w:rsid w:val="00332BE3"/>
    <w:rsid w:val="00333473"/>
    <w:rsid w:val="00333B9C"/>
    <w:rsid w:val="0035326A"/>
    <w:rsid w:val="0036085B"/>
    <w:rsid w:val="00361F63"/>
    <w:rsid w:val="00374744"/>
    <w:rsid w:val="0038268F"/>
    <w:rsid w:val="0038465B"/>
    <w:rsid w:val="00385085"/>
    <w:rsid w:val="003860ED"/>
    <w:rsid w:val="00390ACA"/>
    <w:rsid w:val="003960E3"/>
    <w:rsid w:val="003B1E6C"/>
    <w:rsid w:val="003C7C12"/>
    <w:rsid w:val="003E1325"/>
    <w:rsid w:val="003F04F3"/>
    <w:rsid w:val="003F0CA3"/>
    <w:rsid w:val="003F4C51"/>
    <w:rsid w:val="00402D6F"/>
    <w:rsid w:val="00415428"/>
    <w:rsid w:val="004162E5"/>
    <w:rsid w:val="004231F8"/>
    <w:rsid w:val="00430E2D"/>
    <w:rsid w:val="0043407D"/>
    <w:rsid w:val="0043785E"/>
    <w:rsid w:val="004401B4"/>
    <w:rsid w:val="00451D3E"/>
    <w:rsid w:val="004525D5"/>
    <w:rsid w:val="00460844"/>
    <w:rsid w:val="00461972"/>
    <w:rsid w:val="00464324"/>
    <w:rsid w:val="00466A12"/>
    <w:rsid w:val="00470702"/>
    <w:rsid w:val="00475416"/>
    <w:rsid w:val="00483113"/>
    <w:rsid w:val="0049253E"/>
    <w:rsid w:val="004A4986"/>
    <w:rsid w:val="004A654A"/>
    <w:rsid w:val="004B16ED"/>
    <w:rsid w:val="004B485B"/>
    <w:rsid w:val="004C0B59"/>
    <w:rsid w:val="004C5363"/>
    <w:rsid w:val="004D2D34"/>
    <w:rsid w:val="004D7057"/>
    <w:rsid w:val="004E2838"/>
    <w:rsid w:val="004E2BBF"/>
    <w:rsid w:val="004E5A5D"/>
    <w:rsid w:val="004E6EAD"/>
    <w:rsid w:val="004F0CFD"/>
    <w:rsid w:val="004F234D"/>
    <w:rsid w:val="004F5B8E"/>
    <w:rsid w:val="00522990"/>
    <w:rsid w:val="005300EF"/>
    <w:rsid w:val="00531406"/>
    <w:rsid w:val="00535CD6"/>
    <w:rsid w:val="00544A69"/>
    <w:rsid w:val="00545FA8"/>
    <w:rsid w:val="00562B2F"/>
    <w:rsid w:val="00563262"/>
    <w:rsid w:val="0057617F"/>
    <w:rsid w:val="005853E4"/>
    <w:rsid w:val="0059046D"/>
    <w:rsid w:val="005A709A"/>
    <w:rsid w:val="005D0FBB"/>
    <w:rsid w:val="005D217F"/>
    <w:rsid w:val="005E107F"/>
    <w:rsid w:val="005E2CE4"/>
    <w:rsid w:val="005E562D"/>
    <w:rsid w:val="005E5749"/>
    <w:rsid w:val="005E65B0"/>
    <w:rsid w:val="005F761A"/>
    <w:rsid w:val="0060618E"/>
    <w:rsid w:val="00612491"/>
    <w:rsid w:val="00613FF4"/>
    <w:rsid w:val="0062674E"/>
    <w:rsid w:val="006267DB"/>
    <w:rsid w:val="0063438B"/>
    <w:rsid w:val="00641CB9"/>
    <w:rsid w:val="006574EF"/>
    <w:rsid w:val="00667256"/>
    <w:rsid w:val="006675F8"/>
    <w:rsid w:val="006701CF"/>
    <w:rsid w:val="00674791"/>
    <w:rsid w:val="0067526B"/>
    <w:rsid w:val="006942D9"/>
    <w:rsid w:val="00695FEA"/>
    <w:rsid w:val="006A0383"/>
    <w:rsid w:val="006A2C4F"/>
    <w:rsid w:val="006B1658"/>
    <w:rsid w:val="006B1C6A"/>
    <w:rsid w:val="006B7592"/>
    <w:rsid w:val="006C03CA"/>
    <w:rsid w:val="006C0BA3"/>
    <w:rsid w:val="006C6AAB"/>
    <w:rsid w:val="006D1CEC"/>
    <w:rsid w:val="006F286F"/>
    <w:rsid w:val="006F5322"/>
    <w:rsid w:val="007114F1"/>
    <w:rsid w:val="0071153C"/>
    <w:rsid w:val="00715EEF"/>
    <w:rsid w:val="007212E3"/>
    <w:rsid w:val="00722973"/>
    <w:rsid w:val="00723269"/>
    <w:rsid w:val="00724BAD"/>
    <w:rsid w:val="00732D6A"/>
    <w:rsid w:val="00735253"/>
    <w:rsid w:val="00755400"/>
    <w:rsid w:val="00762167"/>
    <w:rsid w:val="00763EF1"/>
    <w:rsid w:val="00770144"/>
    <w:rsid w:val="007769F3"/>
    <w:rsid w:val="00777DF6"/>
    <w:rsid w:val="00781C56"/>
    <w:rsid w:val="00785072"/>
    <w:rsid w:val="00785114"/>
    <w:rsid w:val="00787BA6"/>
    <w:rsid w:val="00794529"/>
    <w:rsid w:val="00794922"/>
    <w:rsid w:val="007A4860"/>
    <w:rsid w:val="007B4877"/>
    <w:rsid w:val="007B5210"/>
    <w:rsid w:val="007D20E3"/>
    <w:rsid w:val="007D740E"/>
    <w:rsid w:val="007E0516"/>
    <w:rsid w:val="007E312E"/>
    <w:rsid w:val="007E43E7"/>
    <w:rsid w:val="007E682D"/>
    <w:rsid w:val="007E6B38"/>
    <w:rsid w:val="007F76A2"/>
    <w:rsid w:val="008011F9"/>
    <w:rsid w:val="00804D20"/>
    <w:rsid w:val="00810CEF"/>
    <w:rsid w:val="008134E9"/>
    <w:rsid w:val="00814348"/>
    <w:rsid w:val="008307D4"/>
    <w:rsid w:val="008338E1"/>
    <w:rsid w:val="00837935"/>
    <w:rsid w:val="00857604"/>
    <w:rsid w:val="00862299"/>
    <w:rsid w:val="00863515"/>
    <w:rsid w:val="008751AB"/>
    <w:rsid w:val="00883095"/>
    <w:rsid w:val="0088760F"/>
    <w:rsid w:val="00887DCD"/>
    <w:rsid w:val="00892517"/>
    <w:rsid w:val="00892B06"/>
    <w:rsid w:val="008963FC"/>
    <w:rsid w:val="008A5803"/>
    <w:rsid w:val="008B22E9"/>
    <w:rsid w:val="008B28F0"/>
    <w:rsid w:val="008B756C"/>
    <w:rsid w:val="008C03F8"/>
    <w:rsid w:val="008C2328"/>
    <w:rsid w:val="008E2487"/>
    <w:rsid w:val="008E57E8"/>
    <w:rsid w:val="008F7B48"/>
    <w:rsid w:val="00905AF7"/>
    <w:rsid w:val="00907BDF"/>
    <w:rsid w:val="0091606F"/>
    <w:rsid w:val="00926894"/>
    <w:rsid w:val="009373EB"/>
    <w:rsid w:val="009543A3"/>
    <w:rsid w:val="00955C65"/>
    <w:rsid w:val="00955F04"/>
    <w:rsid w:val="009567A1"/>
    <w:rsid w:val="00963E42"/>
    <w:rsid w:val="00964DD9"/>
    <w:rsid w:val="009652A3"/>
    <w:rsid w:val="00971B98"/>
    <w:rsid w:val="00974EB3"/>
    <w:rsid w:val="00976009"/>
    <w:rsid w:val="00976EB6"/>
    <w:rsid w:val="00980C5D"/>
    <w:rsid w:val="00983218"/>
    <w:rsid w:val="00984123"/>
    <w:rsid w:val="0099579F"/>
    <w:rsid w:val="009961F9"/>
    <w:rsid w:val="009A06EF"/>
    <w:rsid w:val="009A6F0E"/>
    <w:rsid w:val="009C29C8"/>
    <w:rsid w:val="009D07D6"/>
    <w:rsid w:val="009D78F7"/>
    <w:rsid w:val="009E0F52"/>
    <w:rsid w:val="009E382C"/>
    <w:rsid w:val="00A04C07"/>
    <w:rsid w:val="00A20EB7"/>
    <w:rsid w:val="00A229F6"/>
    <w:rsid w:val="00A22DFD"/>
    <w:rsid w:val="00A235EF"/>
    <w:rsid w:val="00A37581"/>
    <w:rsid w:val="00A51FC5"/>
    <w:rsid w:val="00A54523"/>
    <w:rsid w:val="00A57A52"/>
    <w:rsid w:val="00A61DA8"/>
    <w:rsid w:val="00A70613"/>
    <w:rsid w:val="00A72BE3"/>
    <w:rsid w:val="00A96815"/>
    <w:rsid w:val="00A96DE4"/>
    <w:rsid w:val="00AA4F76"/>
    <w:rsid w:val="00AC1FB4"/>
    <w:rsid w:val="00AC351C"/>
    <w:rsid w:val="00AF26F8"/>
    <w:rsid w:val="00B00518"/>
    <w:rsid w:val="00B00D5C"/>
    <w:rsid w:val="00B00F22"/>
    <w:rsid w:val="00B02A39"/>
    <w:rsid w:val="00B06989"/>
    <w:rsid w:val="00B07EB9"/>
    <w:rsid w:val="00B07F10"/>
    <w:rsid w:val="00B15FBB"/>
    <w:rsid w:val="00B163A9"/>
    <w:rsid w:val="00B17363"/>
    <w:rsid w:val="00B20D72"/>
    <w:rsid w:val="00B36B16"/>
    <w:rsid w:val="00B51A23"/>
    <w:rsid w:val="00B52AD2"/>
    <w:rsid w:val="00B61CAA"/>
    <w:rsid w:val="00B675C7"/>
    <w:rsid w:val="00B725C9"/>
    <w:rsid w:val="00B8616B"/>
    <w:rsid w:val="00B8648A"/>
    <w:rsid w:val="00B96507"/>
    <w:rsid w:val="00B96D5D"/>
    <w:rsid w:val="00BB4598"/>
    <w:rsid w:val="00BB51C8"/>
    <w:rsid w:val="00BE733D"/>
    <w:rsid w:val="00BF5F76"/>
    <w:rsid w:val="00C02DC2"/>
    <w:rsid w:val="00C1728E"/>
    <w:rsid w:val="00C225BE"/>
    <w:rsid w:val="00C279B6"/>
    <w:rsid w:val="00C30296"/>
    <w:rsid w:val="00C41C6F"/>
    <w:rsid w:val="00C5250D"/>
    <w:rsid w:val="00C608D4"/>
    <w:rsid w:val="00C60EAD"/>
    <w:rsid w:val="00C66930"/>
    <w:rsid w:val="00C74891"/>
    <w:rsid w:val="00C76198"/>
    <w:rsid w:val="00C80E01"/>
    <w:rsid w:val="00C92451"/>
    <w:rsid w:val="00CC46C1"/>
    <w:rsid w:val="00CC5093"/>
    <w:rsid w:val="00CC7269"/>
    <w:rsid w:val="00CE3711"/>
    <w:rsid w:val="00CE3ACB"/>
    <w:rsid w:val="00D11E45"/>
    <w:rsid w:val="00D1254D"/>
    <w:rsid w:val="00D12570"/>
    <w:rsid w:val="00D161F2"/>
    <w:rsid w:val="00D16FAE"/>
    <w:rsid w:val="00D229D7"/>
    <w:rsid w:val="00D27017"/>
    <w:rsid w:val="00D32CF6"/>
    <w:rsid w:val="00D34A49"/>
    <w:rsid w:val="00D42D9E"/>
    <w:rsid w:val="00D44BFC"/>
    <w:rsid w:val="00D451B0"/>
    <w:rsid w:val="00D54A67"/>
    <w:rsid w:val="00D554B0"/>
    <w:rsid w:val="00D67CF0"/>
    <w:rsid w:val="00D74011"/>
    <w:rsid w:val="00D87C09"/>
    <w:rsid w:val="00DA4972"/>
    <w:rsid w:val="00DB44B6"/>
    <w:rsid w:val="00DC5201"/>
    <w:rsid w:val="00DD1F75"/>
    <w:rsid w:val="00DD7E37"/>
    <w:rsid w:val="00DF6B8A"/>
    <w:rsid w:val="00E024B0"/>
    <w:rsid w:val="00E116E8"/>
    <w:rsid w:val="00E159C1"/>
    <w:rsid w:val="00E234C3"/>
    <w:rsid w:val="00E30C4E"/>
    <w:rsid w:val="00E6029F"/>
    <w:rsid w:val="00E63AA5"/>
    <w:rsid w:val="00E64BAC"/>
    <w:rsid w:val="00E701EB"/>
    <w:rsid w:val="00E709B3"/>
    <w:rsid w:val="00E71E60"/>
    <w:rsid w:val="00E75D87"/>
    <w:rsid w:val="00E842A5"/>
    <w:rsid w:val="00E84C12"/>
    <w:rsid w:val="00E87944"/>
    <w:rsid w:val="00E955D3"/>
    <w:rsid w:val="00E95BE8"/>
    <w:rsid w:val="00E96412"/>
    <w:rsid w:val="00EA0A87"/>
    <w:rsid w:val="00EA3AEF"/>
    <w:rsid w:val="00EA3BE2"/>
    <w:rsid w:val="00EC13EB"/>
    <w:rsid w:val="00EC32F4"/>
    <w:rsid w:val="00EC4F54"/>
    <w:rsid w:val="00ED3D5F"/>
    <w:rsid w:val="00ED430D"/>
    <w:rsid w:val="00EF086B"/>
    <w:rsid w:val="00EF1362"/>
    <w:rsid w:val="00EF3E81"/>
    <w:rsid w:val="00EF579A"/>
    <w:rsid w:val="00F046AB"/>
    <w:rsid w:val="00F05BB0"/>
    <w:rsid w:val="00F13681"/>
    <w:rsid w:val="00F16695"/>
    <w:rsid w:val="00F21FC8"/>
    <w:rsid w:val="00F35D83"/>
    <w:rsid w:val="00F445DD"/>
    <w:rsid w:val="00F4657E"/>
    <w:rsid w:val="00F547FB"/>
    <w:rsid w:val="00F62EF1"/>
    <w:rsid w:val="00F65E06"/>
    <w:rsid w:val="00F66855"/>
    <w:rsid w:val="00F70841"/>
    <w:rsid w:val="00F7444E"/>
    <w:rsid w:val="00F77E5C"/>
    <w:rsid w:val="00F87F5B"/>
    <w:rsid w:val="00F92F94"/>
    <w:rsid w:val="00F9634B"/>
    <w:rsid w:val="00FA15C4"/>
    <w:rsid w:val="00FA1C6E"/>
    <w:rsid w:val="00FA3085"/>
    <w:rsid w:val="00FA536E"/>
    <w:rsid w:val="00FB5065"/>
    <w:rsid w:val="00FD115C"/>
    <w:rsid w:val="00FD2303"/>
    <w:rsid w:val="00FD6150"/>
    <w:rsid w:val="00FE17FC"/>
    <w:rsid w:val="00FE4D41"/>
    <w:rsid w:val="00FE5577"/>
    <w:rsid w:val="00FE72AA"/>
    <w:rsid w:val="00FE74E5"/>
    <w:rsid w:val="00FF233F"/>
    <w:rsid w:val="00FF52F8"/>
    <w:rsid w:val="00FF5FAB"/>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ADC"/>
  <w15:docId w15:val="{F9B0F87D-5938-48FF-A43B-4AFC729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2F"/>
    <w:rPr>
      <w:rFonts w:ascii="Tahoma" w:hAnsi="Tahoma" w:cs="Tahoma"/>
      <w:sz w:val="16"/>
      <w:szCs w:val="16"/>
    </w:rPr>
  </w:style>
  <w:style w:type="paragraph" w:styleId="Header">
    <w:name w:val="header"/>
    <w:basedOn w:val="Normal"/>
    <w:link w:val="HeaderChar"/>
    <w:uiPriority w:val="99"/>
    <w:unhideWhenUsed/>
    <w:rsid w:val="007E05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516"/>
  </w:style>
  <w:style w:type="paragraph" w:styleId="Footer">
    <w:name w:val="footer"/>
    <w:basedOn w:val="Normal"/>
    <w:link w:val="FooterChar"/>
    <w:uiPriority w:val="99"/>
    <w:unhideWhenUsed/>
    <w:rsid w:val="007E05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516"/>
  </w:style>
  <w:style w:type="character" w:styleId="IntenseReference">
    <w:name w:val="Intense Reference"/>
    <w:basedOn w:val="DefaultParagraphFont"/>
    <w:uiPriority w:val="32"/>
    <w:qFormat/>
    <w:rsid w:val="00A70613"/>
    <w:rPr>
      <w:b/>
      <w:bCs/>
      <w:smallCaps/>
      <w:color w:val="4F81BD" w:themeColor="accent1"/>
      <w:spacing w:val="5"/>
    </w:rPr>
  </w:style>
  <w:style w:type="character" w:styleId="CommentReference">
    <w:name w:val="annotation reference"/>
    <w:basedOn w:val="DefaultParagraphFont"/>
    <w:uiPriority w:val="99"/>
    <w:semiHidden/>
    <w:unhideWhenUsed/>
    <w:rsid w:val="00A229F6"/>
    <w:rPr>
      <w:sz w:val="16"/>
      <w:szCs w:val="16"/>
    </w:rPr>
  </w:style>
  <w:style w:type="paragraph" w:styleId="CommentText">
    <w:name w:val="annotation text"/>
    <w:basedOn w:val="Normal"/>
    <w:link w:val="CommentTextChar"/>
    <w:uiPriority w:val="99"/>
    <w:unhideWhenUsed/>
    <w:rsid w:val="00A229F6"/>
    <w:pPr>
      <w:spacing w:line="240" w:lineRule="auto"/>
    </w:pPr>
    <w:rPr>
      <w:sz w:val="20"/>
      <w:szCs w:val="20"/>
    </w:rPr>
  </w:style>
  <w:style w:type="character" w:customStyle="1" w:styleId="CommentTextChar">
    <w:name w:val="Comment Text Char"/>
    <w:basedOn w:val="DefaultParagraphFont"/>
    <w:link w:val="CommentText"/>
    <w:uiPriority w:val="99"/>
    <w:rsid w:val="00A229F6"/>
    <w:rPr>
      <w:sz w:val="20"/>
      <w:szCs w:val="20"/>
    </w:rPr>
  </w:style>
  <w:style w:type="paragraph" w:styleId="CommentSubject">
    <w:name w:val="annotation subject"/>
    <w:basedOn w:val="CommentText"/>
    <w:next w:val="CommentText"/>
    <w:link w:val="CommentSubjectChar"/>
    <w:uiPriority w:val="99"/>
    <w:semiHidden/>
    <w:unhideWhenUsed/>
    <w:rsid w:val="00A229F6"/>
    <w:rPr>
      <w:b/>
      <w:bCs/>
    </w:rPr>
  </w:style>
  <w:style w:type="character" w:customStyle="1" w:styleId="CommentSubjectChar">
    <w:name w:val="Comment Subject Char"/>
    <w:basedOn w:val="CommentTextChar"/>
    <w:link w:val="CommentSubject"/>
    <w:uiPriority w:val="99"/>
    <w:semiHidden/>
    <w:rsid w:val="00A229F6"/>
    <w:rPr>
      <w:b/>
      <w:bCs/>
      <w:sz w:val="20"/>
      <w:szCs w:val="20"/>
    </w:rPr>
  </w:style>
  <w:style w:type="paragraph" w:styleId="Revision">
    <w:name w:val="Revision"/>
    <w:hidden/>
    <w:uiPriority w:val="99"/>
    <w:semiHidden/>
    <w:rsid w:val="00E95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015">
      <w:bodyDiv w:val="1"/>
      <w:marLeft w:val="0"/>
      <w:marRight w:val="0"/>
      <w:marTop w:val="0"/>
      <w:marBottom w:val="0"/>
      <w:divBdr>
        <w:top w:val="none" w:sz="0" w:space="0" w:color="auto"/>
        <w:left w:val="none" w:sz="0" w:space="0" w:color="auto"/>
        <w:bottom w:val="none" w:sz="0" w:space="0" w:color="auto"/>
        <w:right w:val="none" w:sz="0" w:space="0" w:color="auto"/>
      </w:divBdr>
    </w:div>
    <w:div w:id="453717840">
      <w:bodyDiv w:val="1"/>
      <w:marLeft w:val="0"/>
      <w:marRight w:val="0"/>
      <w:marTop w:val="0"/>
      <w:marBottom w:val="0"/>
      <w:divBdr>
        <w:top w:val="none" w:sz="0" w:space="0" w:color="auto"/>
        <w:left w:val="none" w:sz="0" w:space="0" w:color="auto"/>
        <w:bottom w:val="none" w:sz="0" w:space="0" w:color="auto"/>
        <w:right w:val="none" w:sz="0" w:space="0" w:color="auto"/>
      </w:divBdr>
    </w:div>
    <w:div w:id="1351033062">
      <w:bodyDiv w:val="1"/>
      <w:marLeft w:val="0"/>
      <w:marRight w:val="0"/>
      <w:marTop w:val="0"/>
      <w:marBottom w:val="0"/>
      <w:divBdr>
        <w:top w:val="none" w:sz="0" w:space="0" w:color="auto"/>
        <w:left w:val="none" w:sz="0" w:space="0" w:color="auto"/>
        <w:bottom w:val="none" w:sz="0" w:space="0" w:color="auto"/>
        <w:right w:val="none" w:sz="0" w:space="0" w:color="auto"/>
      </w:divBdr>
    </w:div>
    <w:div w:id="1996378013">
      <w:bodyDiv w:val="1"/>
      <w:marLeft w:val="0"/>
      <w:marRight w:val="0"/>
      <w:marTop w:val="0"/>
      <w:marBottom w:val="0"/>
      <w:divBdr>
        <w:top w:val="none" w:sz="0" w:space="0" w:color="auto"/>
        <w:left w:val="none" w:sz="0" w:space="0" w:color="auto"/>
        <w:bottom w:val="none" w:sz="0" w:space="0" w:color="auto"/>
        <w:right w:val="none" w:sz="0" w:space="0" w:color="auto"/>
      </w:divBdr>
    </w:div>
    <w:div w:id="2044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2\gada_kopsavilkums_2022.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2\gada_kopsavilkums_2022.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2\gada_kopsavilkums_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spPr>
        <a:noFill/>
      </c:spPr>
    </c:backWall>
    <c:plotArea>
      <c:layout/>
      <c:bar3DChart>
        <c:barDir val="col"/>
        <c:grouping val="standard"/>
        <c:varyColors val="0"/>
        <c:ser>
          <c:idx val="0"/>
          <c:order val="0"/>
          <c:tx>
            <c:strRef>
              <c:f>nereproduktivie!$A$28</c:f>
              <c:strCache>
                <c:ptCount val="1"/>
                <c:pt idx="0">
                  <c:v>Nereproduktīvie audi un šūnas 2022.gads</c:v>
                </c:pt>
              </c:strCache>
            </c:strRef>
          </c:tx>
          <c:spPr>
            <a:solidFill>
              <a:srgbClr val="FFFF00"/>
            </a:solidFill>
          </c:spPr>
          <c:invertIfNegative val="0"/>
          <c:dLbls>
            <c:dLbl>
              <c:idx val="3"/>
              <c:layout>
                <c:manualLayout>
                  <c:x val="-8.70321780576939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82-416E-B6C2-58729E45677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strRef>
          </c:cat>
          <c:val>
            <c:numRef>
              <c:f>nereproduktivie!$D$28:$J$28</c:f>
              <c:numCache>
                <c:formatCode>General</c:formatCode>
                <c:ptCount val="7"/>
                <c:pt idx="0">
                  <c:v>595</c:v>
                </c:pt>
                <c:pt idx="1">
                  <c:v>168</c:v>
                </c:pt>
                <c:pt idx="2">
                  <c:v>208</c:v>
                </c:pt>
                <c:pt idx="3">
                  <c:v>493</c:v>
                </c:pt>
                <c:pt idx="4">
                  <c:v>15</c:v>
                </c:pt>
                <c:pt idx="5">
                  <c:v>67</c:v>
                </c:pt>
                <c:pt idx="6">
                  <c:v>388</c:v>
                </c:pt>
              </c:numCache>
            </c:numRef>
          </c:val>
          <c:extLst>
            <c:ext xmlns:c16="http://schemas.microsoft.com/office/drawing/2014/chart" uri="{C3380CC4-5D6E-409C-BE32-E72D297353CC}">
              <c16:uniqueId val="{00000001-A482-416E-B6C2-58729E456771}"/>
            </c:ext>
          </c:extLst>
        </c:ser>
        <c:ser>
          <c:idx val="1"/>
          <c:order val="1"/>
          <c:tx>
            <c:strRef>
              <c:f>nereproduktivie!$A$27</c:f>
              <c:strCache>
                <c:ptCount val="1"/>
                <c:pt idx="0">
                  <c:v>Nereproduktīvie audi un šūnas 2021.gads</c:v>
                </c:pt>
              </c:strCache>
            </c:strRef>
          </c:tx>
          <c:spPr>
            <a:solidFill>
              <a:schemeClr val="bg1">
                <a:lumMod val="85000"/>
              </a:schemeClr>
            </a:solidFill>
          </c:spPr>
          <c:invertIfNegative val="0"/>
          <c:dLbls>
            <c:dLbl>
              <c:idx val="3"/>
              <c:layout>
                <c:manualLayout>
                  <c:x val="1.2184504928077093E-2"/>
                  <c:y val="3.2441200324412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82-416E-B6C2-58729E45677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strRef>
          </c:cat>
          <c:val>
            <c:numRef>
              <c:f>nereproduktivie!$D$27:$J$27</c:f>
              <c:numCache>
                <c:formatCode>General</c:formatCode>
                <c:ptCount val="7"/>
                <c:pt idx="0">
                  <c:v>577</c:v>
                </c:pt>
                <c:pt idx="1">
                  <c:v>140</c:v>
                </c:pt>
                <c:pt idx="2">
                  <c:v>170</c:v>
                </c:pt>
                <c:pt idx="3">
                  <c:v>420</c:v>
                </c:pt>
                <c:pt idx="4">
                  <c:v>8</c:v>
                </c:pt>
                <c:pt idx="5">
                  <c:v>48</c:v>
                </c:pt>
                <c:pt idx="6">
                  <c:v>416</c:v>
                </c:pt>
              </c:numCache>
            </c:numRef>
          </c:val>
          <c:extLst>
            <c:ext xmlns:c16="http://schemas.microsoft.com/office/drawing/2014/chart" uri="{C3380CC4-5D6E-409C-BE32-E72D297353CC}">
              <c16:uniqueId val="{00000003-A482-416E-B6C2-58729E456771}"/>
            </c:ext>
          </c:extLst>
        </c:ser>
        <c:dLbls>
          <c:showLegendKey val="0"/>
          <c:showVal val="0"/>
          <c:showCatName val="0"/>
          <c:showSerName val="0"/>
          <c:showPercent val="0"/>
          <c:showBubbleSize val="0"/>
        </c:dLbls>
        <c:gapWidth val="150"/>
        <c:shape val="box"/>
        <c:axId val="84503936"/>
        <c:axId val="84448384"/>
        <c:axId val="425070880"/>
      </c:bar3DChart>
      <c:catAx>
        <c:axId val="84503936"/>
        <c:scaling>
          <c:orientation val="minMax"/>
        </c:scaling>
        <c:delete val="0"/>
        <c:axPos val="b"/>
        <c:numFmt formatCode="General" sourceLinked="0"/>
        <c:majorTickMark val="out"/>
        <c:minorTickMark val="none"/>
        <c:tickLblPos val="nextTo"/>
        <c:crossAx val="84448384"/>
        <c:crosses val="autoZero"/>
        <c:auto val="1"/>
        <c:lblAlgn val="ctr"/>
        <c:lblOffset val="100"/>
        <c:noMultiLvlLbl val="0"/>
      </c:catAx>
      <c:valAx>
        <c:axId val="84448384"/>
        <c:scaling>
          <c:orientation val="minMax"/>
        </c:scaling>
        <c:delete val="0"/>
        <c:axPos val="l"/>
        <c:majorGridlines/>
        <c:numFmt formatCode="General" sourceLinked="1"/>
        <c:majorTickMark val="out"/>
        <c:minorTickMark val="none"/>
        <c:tickLblPos val="nextTo"/>
        <c:crossAx val="84503936"/>
        <c:crosses val="autoZero"/>
        <c:crossBetween val="between"/>
      </c:valAx>
      <c:serAx>
        <c:axId val="425070880"/>
        <c:scaling>
          <c:orientation val="minMax"/>
        </c:scaling>
        <c:delete val="1"/>
        <c:axPos val="b"/>
        <c:majorTickMark val="out"/>
        <c:minorTickMark val="none"/>
        <c:tickLblPos val="nextTo"/>
        <c:crossAx val="84448384"/>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nereproduktivie!$A$13</c:f>
              <c:strCache>
                <c:ptCount val="1"/>
                <c:pt idx="0">
                  <c:v>Acu audi (ieguve)</c:v>
                </c:pt>
              </c:strCache>
            </c:strRef>
          </c:tx>
          <c:spPr>
            <a:solidFill>
              <a:schemeClr val="accent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nereproduktivie!$C$13:$J$13</c:f>
              <c:numCache>
                <c:formatCode>General</c:formatCode>
                <c:ptCount val="8"/>
                <c:pt idx="0">
                  <c:v>16</c:v>
                </c:pt>
                <c:pt idx="1">
                  <c:v>46</c:v>
                </c:pt>
                <c:pt idx="2">
                  <c:v>46</c:v>
                </c:pt>
                <c:pt idx="3">
                  <c:v>46</c:v>
                </c:pt>
                <c:pt idx="4">
                  <c:v>16</c:v>
                </c:pt>
                <c:pt idx="5">
                  <c:v>0</c:v>
                </c:pt>
                <c:pt idx="6">
                  <c:v>0</c:v>
                </c:pt>
                <c:pt idx="7">
                  <c:v>16</c:v>
                </c:pt>
              </c:numCache>
            </c:numRef>
          </c:val>
          <c:extLst>
            <c:ext xmlns:c16="http://schemas.microsoft.com/office/drawing/2014/chart" uri="{C3380CC4-5D6E-409C-BE32-E72D297353CC}">
              <c16:uniqueId val="{00000000-936E-4740-BE3A-1AE6C6BBDE95}"/>
            </c:ext>
          </c:extLst>
        </c:ser>
        <c:ser>
          <c:idx val="1"/>
          <c:order val="1"/>
          <c:tx>
            <c:strRef>
              <c:f>nereproduktivie!$A$14</c:f>
              <c:strCache>
                <c:ptCount val="1"/>
                <c:pt idx="0">
                  <c:v>Radzene</c:v>
                </c:pt>
              </c:strCache>
            </c:strRef>
          </c:tx>
          <c:spPr>
            <a:solidFill>
              <a:srgbClr val="C00000"/>
            </a:solidFill>
          </c:spPr>
          <c:invertIfNegative val="0"/>
          <c:dLbls>
            <c:dLbl>
              <c:idx val="1"/>
              <c:layout>
                <c:manualLayout>
                  <c:x val="1.5739179314221433E-2"/>
                  <c:y val="-2.09424083769633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6E-4740-BE3A-1AE6C6BBDE95}"/>
                </c:ext>
              </c:extLst>
            </c:dLbl>
            <c:dLbl>
              <c:idx val="3"/>
              <c:layout>
                <c:manualLayout>
                  <c:x val="1.1242270938729541E-2"/>
                  <c:y val="-1.0471204188481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6E-4740-BE3A-1AE6C6BBDE9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nereproduktivie!$C$14:$J$14</c:f>
              <c:numCache>
                <c:formatCode>General</c:formatCode>
                <c:ptCount val="8"/>
                <c:pt idx="0">
                  <c:v>9</c:v>
                </c:pt>
                <c:pt idx="1">
                  <c:v>46</c:v>
                </c:pt>
                <c:pt idx="2">
                  <c:v>0</c:v>
                </c:pt>
                <c:pt idx="3">
                  <c:v>46</c:v>
                </c:pt>
                <c:pt idx="4">
                  <c:v>55</c:v>
                </c:pt>
                <c:pt idx="5">
                  <c:v>1</c:v>
                </c:pt>
                <c:pt idx="6">
                  <c:v>54</c:v>
                </c:pt>
                <c:pt idx="7">
                  <c:v>0</c:v>
                </c:pt>
              </c:numCache>
            </c:numRef>
          </c:val>
          <c:extLst>
            <c:ext xmlns:c16="http://schemas.microsoft.com/office/drawing/2014/chart" uri="{C3380CC4-5D6E-409C-BE32-E72D297353CC}">
              <c16:uniqueId val="{00000003-936E-4740-BE3A-1AE6C6BBDE95}"/>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crossAx val="92303744"/>
        <c:crosses val="autoZero"/>
        <c:auto val="1"/>
        <c:lblAlgn val="ctr"/>
        <c:lblOffset val="100"/>
        <c:noMultiLvlLbl val="0"/>
      </c:catAx>
      <c:valAx>
        <c:axId val="92303744"/>
        <c:scaling>
          <c:orientation val="minMax"/>
        </c:scaling>
        <c:delete val="0"/>
        <c:axPos val="l"/>
        <c:majorGridlines/>
        <c:numFmt formatCode="General" sourceLinked="1"/>
        <c:majorTickMark val="out"/>
        <c:minorTickMark val="none"/>
        <c:tickLblPos val="nextTo"/>
        <c:crossAx val="922855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nereproduktivie!$A$8</c:f>
              <c:strCache>
                <c:ptCount val="1"/>
                <c:pt idx="0">
                  <c:v>Kaulu transplantāti</c:v>
                </c:pt>
              </c:strCache>
            </c:strRef>
          </c:tx>
          <c:spPr>
            <a:solidFill>
              <a:schemeClr val="tx2">
                <a:lumMod val="60000"/>
                <a:lumOff val="40000"/>
              </a:schemeClr>
            </a:solidFill>
          </c:spPr>
          <c:invertIfNegative val="0"/>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nereproduktivie!$C$8:$J$8</c:f>
              <c:numCache>
                <c:formatCode>General</c:formatCode>
                <c:ptCount val="8"/>
                <c:pt idx="0">
                  <c:v>0</c:v>
                </c:pt>
                <c:pt idx="1">
                  <c:v>50</c:v>
                </c:pt>
                <c:pt idx="2">
                  <c:v>48</c:v>
                </c:pt>
                <c:pt idx="3">
                  <c:v>50</c:v>
                </c:pt>
                <c:pt idx="4">
                  <c:v>48</c:v>
                </c:pt>
                <c:pt idx="5">
                  <c:v>4</c:v>
                </c:pt>
                <c:pt idx="6">
                  <c:v>12</c:v>
                </c:pt>
                <c:pt idx="7">
                  <c:v>0</c:v>
                </c:pt>
              </c:numCache>
            </c:numRef>
          </c:val>
          <c:extLst>
            <c:ext xmlns:c16="http://schemas.microsoft.com/office/drawing/2014/chart" uri="{C3380CC4-5D6E-409C-BE32-E72D297353CC}">
              <c16:uniqueId val="{00000000-6555-4DFA-AD38-AC546D9A1915}"/>
            </c:ext>
          </c:extLst>
        </c:ser>
        <c:ser>
          <c:idx val="0"/>
          <c:order val="1"/>
          <c:tx>
            <c:strRef>
              <c:f>nereproduktivie!$A$7</c:f>
              <c:strCache>
                <c:ptCount val="1"/>
                <c:pt idx="0">
                  <c:v>Kaulaudi</c:v>
                </c:pt>
              </c:strCache>
            </c:strRef>
          </c:tx>
          <c:spPr>
            <a:solidFill>
              <a:schemeClr val="accent5">
                <a:lumMod val="60000"/>
                <a:lumOff val="40000"/>
              </a:schemeClr>
            </a:solidFill>
          </c:spPr>
          <c:invertIfNegative val="0"/>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nereproduktivie!$C$7:$J$7</c:f>
              <c:numCache>
                <c:formatCode>General</c:formatCode>
                <c:ptCount val="8"/>
              </c:numCache>
            </c:numRef>
          </c:val>
          <c:extLst>
            <c:ext xmlns:c16="http://schemas.microsoft.com/office/drawing/2014/chart" uri="{C3380CC4-5D6E-409C-BE32-E72D297353CC}">
              <c16:uniqueId val="{00000001-6555-4DFA-AD38-AC546D9A1915}"/>
            </c:ext>
          </c:extLst>
        </c:ser>
        <c:dLbls>
          <c:showLegendKey val="0"/>
          <c:showVal val="0"/>
          <c:showCatName val="0"/>
          <c:showSerName val="0"/>
          <c:showPercent val="0"/>
          <c:showBubbleSize val="0"/>
        </c:dLbls>
        <c:gapWidth val="150"/>
        <c:axId val="84468864"/>
        <c:axId val="84470400"/>
      </c:barChart>
      <c:catAx>
        <c:axId val="84468864"/>
        <c:scaling>
          <c:orientation val="minMax"/>
        </c:scaling>
        <c:delete val="0"/>
        <c:axPos val="b"/>
        <c:numFmt formatCode="General" sourceLinked="1"/>
        <c:majorTickMark val="out"/>
        <c:minorTickMark val="none"/>
        <c:tickLblPos val="nextTo"/>
        <c:crossAx val="84470400"/>
        <c:crosses val="autoZero"/>
        <c:auto val="1"/>
        <c:lblAlgn val="ctr"/>
        <c:lblOffset val="100"/>
        <c:noMultiLvlLbl val="0"/>
      </c:catAx>
      <c:valAx>
        <c:axId val="84470400"/>
        <c:scaling>
          <c:orientation val="minMax"/>
        </c:scaling>
        <c:delete val="0"/>
        <c:axPos val="l"/>
        <c:majorGridlines/>
        <c:numFmt formatCode="General" sourceLinked="1"/>
        <c:majorTickMark val="out"/>
        <c:minorTickMark val="none"/>
        <c:tickLblPos val="nextTo"/>
        <c:crossAx val="844688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nereproduktivie!$A$16</c:f>
              <c:strCache>
                <c:ptCount val="1"/>
                <c:pt idx="0">
                  <c:v>Nabassaites asinis (ieguve)</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nereproduktivie!$C$16:$J$16</c:f>
              <c:numCache>
                <c:formatCode>General</c:formatCode>
                <c:ptCount val="8"/>
                <c:pt idx="0">
                  <c:v>0</c:v>
                </c:pt>
                <c:pt idx="1">
                  <c:v>218</c:v>
                </c:pt>
                <c:pt idx="2">
                  <c:v>41</c:v>
                </c:pt>
                <c:pt idx="3">
                  <c:v>33</c:v>
                </c:pt>
                <c:pt idx="4">
                  <c:v>0</c:v>
                </c:pt>
                <c:pt idx="5">
                  <c:v>8</c:v>
                </c:pt>
                <c:pt idx="6">
                  <c:v>0</c:v>
                </c:pt>
                <c:pt idx="7">
                  <c:v>177</c:v>
                </c:pt>
              </c:numCache>
            </c:numRef>
          </c:val>
          <c:extLst>
            <c:ext xmlns:c16="http://schemas.microsoft.com/office/drawing/2014/chart" uri="{C3380CC4-5D6E-409C-BE32-E72D297353CC}">
              <c16:uniqueId val="{00000000-7F65-4C6C-B46F-9C1B70B509DE}"/>
            </c:ext>
          </c:extLst>
        </c:ser>
        <c:ser>
          <c:idx val="3"/>
          <c:order val="1"/>
          <c:tx>
            <c:strRef>
              <c:f>nereproduktivie!$A$18</c:f>
              <c:strCache>
                <c:ptCount val="1"/>
                <c:pt idx="0">
                  <c:v>Nabassaites audi (ieguve)</c:v>
                </c:pt>
              </c:strCache>
            </c:strRef>
          </c:tx>
          <c:spPr>
            <a:solidFill>
              <a:srgbClr val="0070C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nereproduktivie!$C$18:$J$18</c:f>
              <c:numCache>
                <c:formatCode>General</c:formatCode>
                <c:ptCount val="8"/>
                <c:pt idx="1">
                  <c:v>195</c:v>
                </c:pt>
                <c:pt idx="2">
                  <c:v>0</c:v>
                </c:pt>
                <c:pt idx="3">
                  <c:v>0</c:v>
                </c:pt>
                <c:pt idx="4">
                  <c:v>0</c:v>
                </c:pt>
                <c:pt idx="5">
                  <c:v>0</c:v>
                </c:pt>
                <c:pt idx="6">
                  <c:v>0</c:v>
                </c:pt>
                <c:pt idx="7">
                  <c:v>195</c:v>
                </c:pt>
              </c:numCache>
            </c:numRef>
          </c:val>
          <c:extLst>
            <c:ext xmlns:c16="http://schemas.microsoft.com/office/drawing/2014/chart" uri="{C3380CC4-5D6E-409C-BE32-E72D297353CC}">
              <c16:uniqueId val="{00000001-7F65-4C6C-B46F-9C1B70B509DE}"/>
            </c:ext>
          </c:extLst>
        </c:ser>
        <c:ser>
          <c:idx val="1"/>
          <c:order val="2"/>
          <c:tx>
            <c:strRef>
              <c:f>nereproduktivie!$A$17</c:f>
              <c:strCache>
                <c:ptCount val="1"/>
                <c:pt idx="0">
                  <c:v>Kriokonservētas cilmes šūnas (izdalītas no nabasaites asinīm)</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nereproduktivie!$C$17:$J$17</c:f>
              <c:numCache>
                <c:formatCode>General</c:formatCode>
                <c:ptCount val="8"/>
                <c:pt idx="0">
                  <c:v>0</c:v>
                </c:pt>
                <c:pt idx="1">
                  <c:v>33</c:v>
                </c:pt>
                <c:pt idx="2">
                  <c:v>33</c:v>
                </c:pt>
                <c:pt idx="3">
                  <c:v>33</c:v>
                </c:pt>
                <c:pt idx="4">
                  <c:v>368</c:v>
                </c:pt>
                <c:pt idx="5">
                  <c:v>2</c:v>
                </c:pt>
                <c:pt idx="6">
                  <c:v>0</c:v>
                </c:pt>
                <c:pt idx="7">
                  <c:v>0</c:v>
                </c:pt>
              </c:numCache>
            </c:numRef>
          </c:val>
          <c:extLst>
            <c:ext xmlns:c16="http://schemas.microsoft.com/office/drawing/2014/chart" uri="{C3380CC4-5D6E-409C-BE32-E72D297353CC}">
              <c16:uniqueId val="{00000002-7F65-4C6C-B46F-9C1B70B509DE}"/>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a:latin typeface="Times New Roman" panose="02020603050405020304" pitchFamily="18" charset="0"/>
                <a:cs typeface="Times New Roman" panose="02020603050405020304" pitchFamily="18" charset="0"/>
              </a:rPr>
              <a:t>Ieguve</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dzimumsunas_embriji!$B$9</c:f>
              <c:strCache>
                <c:ptCount val="1"/>
                <c:pt idx="0">
                  <c:v>2022.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dzimumsunas_embriji!$D$9:$G$9</c:f>
              <c:numCache>
                <c:formatCode>General</c:formatCode>
                <c:ptCount val="4"/>
                <c:pt idx="0">
                  <c:v>2401</c:v>
                </c:pt>
                <c:pt idx="1">
                  <c:v>35</c:v>
                </c:pt>
                <c:pt idx="2">
                  <c:v>27833</c:v>
                </c:pt>
                <c:pt idx="3">
                  <c:v>16180</c:v>
                </c:pt>
              </c:numCache>
            </c:numRef>
          </c:val>
          <c:extLst>
            <c:ext xmlns:c16="http://schemas.microsoft.com/office/drawing/2014/chart" uri="{C3380CC4-5D6E-409C-BE32-E72D297353CC}">
              <c16:uniqueId val="{00000000-6305-463B-92F1-CA052DDCB8DD}"/>
            </c:ext>
          </c:extLst>
        </c:ser>
        <c:ser>
          <c:idx val="1"/>
          <c:order val="1"/>
          <c:tx>
            <c:strRef>
              <c:f>dzimumsunas_embriji!$B$11</c:f>
              <c:strCache>
                <c:ptCount val="1"/>
                <c:pt idx="0">
                  <c:v>2021.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dzimumsunas_embriji!$D$11:$G$11</c:f>
              <c:numCache>
                <c:formatCode>General</c:formatCode>
                <c:ptCount val="4"/>
                <c:pt idx="0">
                  <c:v>1889</c:v>
                </c:pt>
                <c:pt idx="1">
                  <c:v>47</c:v>
                </c:pt>
                <c:pt idx="2">
                  <c:v>21265</c:v>
                </c:pt>
                <c:pt idx="3">
                  <c:v>12386</c:v>
                </c:pt>
              </c:numCache>
            </c:numRef>
          </c:val>
          <c:extLst>
            <c:ext xmlns:c16="http://schemas.microsoft.com/office/drawing/2014/chart" uri="{C3380CC4-5D6E-409C-BE32-E72D297353CC}">
              <c16:uniqueId val="{00000001-6305-463B-92F1-CA052DDCB8DD}"/>
            </c:ext>
          </c:extLst>
        </c:ser>
        <c:dLbls>
          <c:showLegendKey val="0"/>
          <c:showVal val="0"/>
          <c:showCatName val="0"/>
          <c:showSerName val="0"/>
          <c:showPercent val="0"/>
          <c:showBubbleSize val="0"/>
        </c:dLbls>
        <c:gapWidth val="150"/>
        <c:shape val="box"/>
        <c:axId val="55290496"/>
        <c:axId val="55300480"/>
        <c:axId val="92338816"/>
      </c:bar3DChart>
      <c:catAx>
        <c:axId val="55290496"/>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00480"/>
        <c:crosses val="autoZero"/>
        <c:auto val="1"/>
        <c:lblAlgn val="ctr"/>
        <c:lblOffset val="100"/>
        <c:noMultiLvlLbl val="0"/>
      </c:catAx>
      <c:valAx>
        <c:axId val="5530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290496"/>
        <c:crosses val="autoZero"/>
        <c:crossBetween val="between"/>
      </c:valAx>
      <c:serAx>
        <c:axId val="92338816"/>
        <c:scaling>
          <c:orientation val="minMax"/>
        </c:scaling>
        <c:delete val="1"/>
        <c:axPos val="b"/>
        <c:numFmt formatCode="General" sourceLinked="1"/>
        <c:majorTickMark val="out"/>
        <c:minorTickMark val="none"/>
        <c:tickLblPos val="none"/>
        <c:crossAx val="55300480"/>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b="1">
                <a:latin typeface="Times New Roman" panose="02020603050405020304" pitchFamily="18" charset="0"/>
                <a:cs typeface="Times New Roman" panose="02020603050405020304" pitchFamily="18" charset="0"/>
              </a:rPr>
              <a:t>Vitrifikācija/kriokonservācija</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dzimumsunas_embriji!$B$107</c:f>
              <c:strCache>
                <c:ptCount val="1"/>
                <c:pt idx="0">
                  <c:v>2022.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dzimumsunas_embriji!$C$107:$E$107</c:f>
              <c:numCache>
                <c:formatCode>General</c:formatCode>
                <c:ptCount val="3"/>
                <c:pt idx="0">
                  <c:v>1079</c:v>
                </c:pt>
                <c:pt idx="1">
                  <c:v>2786</c:v>
                </c:pt>
                <c:pt idx="2">
                  <c:v>6437</c:v>
                </c:pt>
              </c:numCache>
              <c:extLst/>
            </c:numRef>
          </c:val>
          <c:extLst>
            <c:ext xmlns:c16="http://schemas.microsoft.com/office/drawing/2014/chart" uri="{C3380CC4-5D6E-409C-BE32-E72D297353CC}">
              <c16:uniqueId val="{00000000-54A0-4DE6-B710-3120771020D6}"/>
            </c:ext>
          </c:extLst>
        </c:ser>
        <c:ser>
          <c:idx val="2"/>
          <c:order val="1"/>
          <c:tx>
            <c:strRef>
              <c:f>dzimumsunas_embriji!$B$109</c:f>
              <c:strCache>
                <c:ptCount val="1"/>
                <c:pt idx="0">
                  <c:v>2021.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dzimumsunas_embriji!$C$109:$E$109</c:f>
              <c:numCache>
                <c:formatCode>General</c:formatCode>
                <c:ptCount val="3"/>
                <c:pt idx="0">
                  <c:v>986</c:v>
                </c:pt>
                <c:pt idx="1">
                  <c:v>1640</c:v>
                </c:pt>
                <c:pt idx="2">
                  <c:v>4599</c:v>
                </c:pt>
              </c:numCache>
              <c:extLst/>
            </c:numRef>
          </c:val>
          <c:extLst>
            <c:ext xmlns:c16="http://schemas.microsoft.com/office/drawing/2014/chart" uri="{C3380CC4-5D6E-409C-BE32-E72D297353CC}">
              <c16:uniqueId val="{00000001-54A0-4DE6-B710-3120771020D6}"/>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one"/>
        <c:crossAx val="55354112"/>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Izmantots procedūrām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1"/>
          <c:order val="0"/>
          <c:tx>
            <c:strRef>
              <c:f>dzimumsunas_embriji!$B$158</c:f>
              <c:strCache>
                <c:ptCount val="1"/>
                <c:pt idx="0">
                  <c:v>2021. gads</c:v>
                </c:pt>
              </c:strCache>
            </c:strRef>
          </c:tx>
          <c:spPr>
            <a:solidFill>
              <a:schemeClr val="bg1">
                <a:lumMod val="8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dzimumsunas_embriji!$C$158:$I$158</c:f>
              <c:numCache>
                <c:formatCode>General</c:formatCode>
                <c:ptCount val="7"/>
                <c:pt idx="0">
                  <c:v>1588</c:v>
                </c:pt>
                <c:pt idx="1">
                  <c:v>34</c:v>
                </c:pt>
                <c:pt idx="2" formatCode="0">
                  <c:v>517</c:v>
                </c:pt>
                <c:pt idx="3">
                  <c:v>15269</c:v>
                </c:pt>
                <c:pt idx="4">
                  <c:v>1068</c:v>
                </c:pt>
                <c:pt idx="5">
                  <c:v>769</c:v>
                </c:pt>
                <c:pt idx="6">
                  <c:v>1949</c:v>
                </c:pt>
              </c:numCache>
            </c:numRef>
          </c:val>
          <c:extLst>
            <c:ext xmlns:c16="http://schemas.microsoft.com/office/drawing/2014/chart" uri="{C3380CC4-5D6E-409C-BE32-E72D297353CC}">
              <c16:uniqueId val="{00000000-F405-4912-B7C2-497DD8C00C56}"/>
            </c:ext>
          </c:extLst>
        </c:ser>
        <c:ser>
          <c:idx val="2"/>
          <c:order val="1"/>
          <c:tx>
            <c:strRef>
              <c:f>dzimumsunas_embriji!$B$156</c:f>
              <c:strCache>
                <c:ptCount val="1"/>
                <c:pt idx="0">
                  <c:v>2022. gads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dzimumsunas_embriji!$C$156:$I$156</c:f>
              <c:numCache>
                <c:formatCode>General</c:formatCode>
                <c:ptCount val="7"/>
                <c:pt idx="0">
                  <c:v>2058</c:v>
                </c:pt>
                <c:pt idx="1">
                  <c:v>25</c:v>
                </c:pt>
                <c:pt idx="2" formatCode="0">
                  <c:v>608</c:v>
                </c:pt>
                <c:pt idx="3">
                  <c:v>19698</c:v>
                </c:pt>
                <c:pt idx="4">
                  <c:v>1143</c:v>
                </c:pt>
                <c:pt idx="5">
                  <c:v>919</c:v>
                </c:pt>
                <c:pt idx="6">
                  <c:v>1798</c:v>
                </c:pt>
              </c:numCache>
            </c:numRef>
          </c:val>
          <c:extLst>
            <c:ext xmlns:c16="http://schemas.microsoft.com/office/drawing/2014/chart" uri="{C3380CC4-5D6E-409C-BE32-E72D297353CC}">
              <c16:uniqueId val="{00000001-F405-4912-B7C2-497DD8C00C56}"/>
            </c:ext>
          </c:extLst>
        </c:ser>
        <c:dLbls>
          <c:dLblPos val="outEnd"/>
          <c:showLegendKey val="0"/>
          <c:showVal val="1"/>
          <c:showCatName val="0"/>
          <c:showSerName val="0"/>
          <c:showPercent val="0"/>
          <c:showBubbleSize val="0"/>
        </c:dLbls>
        <c:gapWidth val="182"/>
        <c:axId val="484029512"/>
        <c:axId val="484029840"/>
      </c:barChart>
      <c:catAx>
        <c:axId val="48402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840"/>
        <c:crosses val="autoZero"/>
        <c:auto val="1"/>
        <c:lblAlgn val="ctr"/>
        <c:lblOffset val="100"/>
        <c:noMultiLvlLbl val="0"/>
      </c:catAx>
      <c:valAx>
        <c:axId val="4840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512"/>
        <c:crosses val="autoZero"/>
        <c:crossBetween val="between"/>
      </c:valAx>
      <c:spPr>
        <a:noFill/>
        <a:ln>
          <a:noFill/>
        </a:ln>
        <a:effectLst/>
      </c:spPr>
    </c:plotArea>
    <c:legend>
      <c:legendPos val="b"/>
      <c:layout>
        <c:manualLayout>
          <c:xMode val="edge"/>
          <c:yMode val="edge"/>
          <c:x val="0.28342516276374546"/>
          <c:y val="0.93632534972794368"/>
          <c:w val="0.31886382384020184"/>
          <c:h val="4.6973188894185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4982091630555577E-2"/>
          <c:y val="3.3114150204908592E-2"/>
          <c:w val="0.9294537017960659"/>
          <c:h val="0.76746005433531339"/>
        </c:manualLayout>
      </c:layout>
      <c:bar3DChart>
        <c:barDir val="col"/>
        <c:grouping val="standard"/>
        <c:varyColors val="0"/>
        <c:ser>
          <c:idx val="0"/>
          <c:order val="0"/>
          <c:tx>
            <c:strRef>
              <c:f>reproduktivie_audi!$A$9</c:f>
              <c:strCache>
                <c:ptCount val="1"/>
                <c:pt idx="0">
                  <c:v>Reproduktīvie audi  2022.gads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extLst/>
            </c:strRef>
          </c:cat>
          <c:val>
            <c:numRef>
              <c:f>reproduktivie_audi!$C$9:$J$9</c:f>
              <c:numCache>
                <c:formatCode>General</c:formatCode>
                <c:ptCount val="8"/>
                <c:pt idx="0">
                  <c:v>0</c:v>
                </c:pt>
                <c:pt idx="1">
                  <c:v>1</c:v>
                </c:pt>
                <c:pt idx="2">
                  <c:v>1</c:v>
                </c:pt>
                <c:pt idx="3">
                  <c:v>1</c:v>
                </c:pt>
                <c:pt idx="4">
                  <c:v>13</c:v>
                </c:pt>
                <c:pt idx="5">
                  <c:v>0</c:v>
                </c:pt>
                <c:pt idx="6">
                  <c:v>0</c:v>
                </c:pt>
                <c:pt idx="7">
                  <c:v>0</c:v>
                </c:pt>
              </c:numCache>
              <c:extLst/>
            </c:numRef>
          </c:val>
          <c:extLst>
            <c:ext xmlns:c16="http://schemas.microsoft.com/office/drawing/2014/chart" uri="{C3380CC4-5D6E-409C-BE32-E72D297353CC}">
              <c16:uniqueId val="{00000000-024F-4739-A847-A44C5DF02269}"/>
            </c:ext>
          </c:extLst>
        </c:ser>
        <c:ser>
          <c:idx val="2"/>
          <c:order val="1"/>
          <c:tx>
            <c:strRef>
              <c:f>reproduktivie_audi!$A$8</c:f>
              <c:strCache>
                <c:ptCount val="1"/>
                <c:pt idx="0">
                  <c:v>Reproduktīvie audi 2021.gads</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extLst/>
            </c:strRef>
          </c:cat>
          <c:val>
            <c:numRef>
              <c:f>reproduktivie_audi!$C$8:$J$8</c:f>
              <c:numCache>
                <c:formatCode>General</c:formatCode>
                <c:ptCount val="8"/>
                <c:pt idx="0">
                  <c:v>0</c:v>
                </c:pt>
                <c:pt idx="1">
                  <c:v>2</c:v>
                </c:pt>
                <c:pt idx="2">
                  <c:v>0</c:v>
                </c:pt>
                <c:pt idx="3">
                  <c:v>2</c:v>
                </c:pt>
                <c:pt idx="4">
                  <c:v>12</c:v>
                </c:pt>
                <c:pt idx="5">
                  <c:v>0</c:v>
                </c:pt>
                <c:pt idx="6">
                  <c:v>0</c:v>
                </c:pt>
                <c:pt idx="7">
                  <c:v>0</c:v>
                </c:pt>
              </c:numCache>
              <c:extLst/>
            </c:numRef>
          </c:val>
          <c:extLst>
            <c:ext xmlns:c16="http://schemas.microsoft.com/office/drawing/2014/chart" uri="{C3380CC4-5D6E-409C-BE32-E72D297353CC}">
              <c16:uniqueId val="{00000001-024F-4739-A847-A44C5DF02269}"/>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extTo"/>
        <c:crossAx val="55354112"/>
        <c:crosses val="autoZero"/>
        <c:tickLblSkip val="1"/>
        <c:tickMarkSkip val="1"/>
      </c:ser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reproduktivie_audi!$A$3</c:f>
              <c:strCache>
                <c:ptCount val="1"/>
                <c:pt idx="0">
                  <c:v>Sēklinieku audi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extLst/>
            </c:strRef>
          </c:cat>
          <c:val>
            <c:numRef>
              <c:f>reproduktivie_audi!$D$3:$J$3</c:f>
              <c:numCache>
                <c:formatCode>General</c:formatCode>
                <c:ptCount val="7"/>
                <c:pt idx="0">
                  <c:v>1</c:v>
                </c:pt>
                <c:pt idx="1">
                  <c:v>1</c:v>
                </c:pt>
                <c:pt idx="2">
                  <c:v>1</c:v>
                </c:pt>
                <c:pt idx="3">
                  <c:v>12</c:v>
                </c:pt>
                <c:pt idx="4">
                  <c:v>0</c:v>
                </c:pt>
                <c:pt idx="5">
                  <c:v>0</c:v>
                </c:pt>
                <c:pt idx="6">
                  <c:v>0</c:v>
                </c:pt>
              </c:numCache>
              <c:extLst/>
            </c:numRef>
          </c:val>
          <c:extLst>
            <c:ext xmlns:c16="http://schemas.microsoft.com/office/drawing/2014/chart" uri="{C3380CC4-5D6E-409C-BE32-E72D297353CC}">
              <c16:uniqueId val="{00000000-FBCD-4C1F-B419-2DD5BD6F6689}"/>
            </c:ext>
          </c:extLst>
        </c:ser>
        <c:ser>
          <c:idx val="1"/>
          <c:order val="1"/>
          <c:tx>
            <c:strRef>
              <c:f>reproduktivie_audi!$A$5</c:f>
              <c:strCache>
                <c:ptCount val="1"/>
                <c:pt idx="0">
                  <c:v>Olnīcu audi</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extLst/>
            </c:strRef>
          </c:cat>
          <c:val>
            <c:numRef>
              <c:f>reproduktivie_audi!$D$5:$J$5</c:f>
              <c:numCache>
                <c:formatCode>General</c:formatCode>
                <c:ptCount val="7"/>
                <c:pt idx="0">
                  <c:v>0</c:v>
                </c:pt>
                <c:pt idx="1">
                  <c:v>0</c:v>
                </c:pt>
                <c:pt idx="2">
                  <c:v>0</c:v>
                </c:pt>
                <c:pt idx="3">
                  <c:v>1</c:v>
                </c:pt>
                <c:pt idx="4">
                  <c:v>0</c:v>
                </c:pt>
                <c:pt idx="5">
                  <c:v>0</c:v>
                </c:pt>
                <c:pt idx="6">
                  <c:v>0</c:v>
                </c:pt>
              </c:numCache>
              <c:extLst/>
            </c:numRef>
          </c:val>
          <c:extLst>
            <c:ext xmlns:c16="http://schemas.microsoft.com/office/drawing/2014/chart" uri="{C3380CC4-5D6E-409C-BE32-E72D297353CC}">
              <c16:uniqueId val="{00000001-FBCD-4C1F-B419-2DD5BD6F6689}"/>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303744"/>
        <c:crosses val="autoZero"/>
        <c:auto val="1"/>
        <c:lblAlgn val="ctr"/>
        <c:lblOffset val="100"/>
        <c:noMultiLvlLbl val="0"/>
      </c:catAx>
      <c:valAx>
        <c:axId val="9230374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2855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ieva.bekere</dc:creator>
  <cp:lastModifiedBy>Ieva Beķere</cp:lastModifiedBy>
  <cp:revision>3</cp:revision>
  <cp:lastPrinted>2017-12-20T10:47:00Z</cp:lastPrinted>
  <dcterms:created xsi:type="dcterms:W3CDTF">2025-01-13T07:45:00Z</dcterms:created>
  <dcterms:modified xsi:type="dcterms:W3CDTF">2025-01-13T07:46:00Z</dcterms:modified>
</cp:coreProperties>
</file>