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6DBC" w14:textId="77777777" w:rsidR="00B32E77" w:rsidRPr="00FA1065" w:rsidRDefault="00B32E77" w:rsidP="00B32E77">
      <w:pPr>
        <w:jc w:val="center"/>
        <w:rPr>
          <w:rFonts w:ascii="Times New Roman" w:hAnsi="Times New Roman" w:cs="Times New Roman"/>
          <w:b/>
          <w:color w:val="16355A"/>
          <w:sz w:val="28"/>
          <w:szCs w:val="28"/>
        </w:rPr>
      </w:pPr>
      <w:r w:rsidRPr="00FA1065">
        <w:rPr>
          <w:rFonts w:ascii="Times New Roman" w:hAnsi="Times New Roman" w:cs="Times New Roman"/>
          <w:b/>
          <w:color w:val="16355A"/>
          <w:sz w:val="28"/>
          <w:szCs w:val="28"/>
        </w:rPr>
        <w:t xml:space="preserve">PĀRSKATS PAR </w:t>
      </w:r>
      <w:r w:rsidRPr="006F7D56">
        <w:rPr>
          <w:rFonts w:ascii="Times New Roman" w:hAnsi="Times New Roman" w:cs="Times New Roman"/>
          <w:b/>
          <w:color w:val="16355A"/>
          <w:sz w:val="28"/>
          <w:szCs w:val="28"/>
        </w:rPr>
        <w:t xml:space="preserve">CILVĒKA ORGĀNU IEGUVES ORGANIZĀCIJU UN </w:t>
      </w:r>
      <w:r w:rsidRPr="00FA1065">
        <w:rPr>
          <w:rFonts w:ascii="Times New Roman" w:hAnsi="Times New Roman" w:cs="Times New Roman"/>
          <w:b/>
          <w:color w:val="16355A"/>
          <w:sz w:val="28"/>
          <w:szCs w:val="28"/>
        </w:rPr>
        <w:t>TRANSPLANTĀCIJAS CENTRU DARBU 20</w:t>
      </w:r>
      <w:r>
        <w:rPr>
          <w:rFonts w:ascii="Times New Roman" w:hAnsi="Times New Roman" w:cs="Times New Roman"/>
          <w:b/>
          <w:color w:val="16355A"/>
          <w:sz w:val="28"/>
          <w:szCs w:val="28"/>
        </w:rPr>
        <w:t>20.</w:t>
      </w:r>
      <w:r w:rsidRPr="00FA1065">
        <w:rPr>
          <w:rFonts w:ascii="Times New Roman" w:hAnsi="Times New Roman" w:cs="Times New Roman"/>
          <w:b/>
          <w:color w:val="16355A"/>
          <w:sz w:val="28"/>
          <w:szCs w:val="28"/>
        </w:rPr>
        <w:t>GADĀ</w:t>
      </w:r>
    </w:p>
    <w:p w14:paraId="4CC3A355" w14:textId="77777777" w:rsidR="00B32E77" w:rsidRPr="005C5B1E" w:rsidRDefault="00B32E77" w:rsidP="00B32E77">
      <w:pPr>
        <w:jc w:val="center"/>
        <w:rPr>
          <w:rFonts w:ascii="Times New Roman" w:hAnsi="Times New Roman" w:cs="Times New Roman"/>
          <w:b/>
          <w:sz w:val="28"/>
          <w:szCs w:val="28"/>
        </w:rPr>
      </w:pPr>
    </w:p>
    <w:p w14:paraId="085DCC26" w14:textId="77777777" w:rsidR="00B32E77" w:rsidRPr="006F7D56"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Saskaņā ar 2013. gada 29.janvāra Ministru kabineta noteikumu Nr. 70 „Noteikumi par cilvēka orgānu izmantošanu medicīnā, kā arī cilvēka orgānu un miruša cilvēka ķermeņa izmantošanu medicīnas studijām (turpmāk Noteikumi Nr. 70) 4.punkts paredz, ka orgānu ieguves organizāciju un transplantācijas centru atbilstību šajos noteikumos minētajām prasībām uzrauga Zāļu valsts aģentūra (turpmāk – Aģentūra).</w:t>
      </w:r>
    </w:p>
    <w:p w14:paraId="116D803C" w14:textId="77777777" w:rsidR="00B32E77" w:rsidRPr="006F7D56"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 xml:space="preserve">Aģentūra savas kompetences ietvaros ir novērtējusi atbilstību un izsniegusi Orgānu izmantošanas atļauju orgānu ieguvei un transplantācijai VSIA “Paula Stradiņa klīniskā universitātes slimnīca” un veic tās  darbības uzraudzību.  </w:t>
      </w:r>
    </w:p>
    <w:p w14:paraId="30DD3AA4" w14:textId="77777777" w:rsidR="00B32E77" w:rsidRPr="006F7D56"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Saskaņā ar Noteikumu Nr.70 prasībām orgānu ieguves organizācijas un transplantācijas centri iesniedz Aģentūrā pārskatu par darbību iepriekšējā gadā. Pārskatā iekļauj informāciju par dzīvo un mirušo donoru skaitu, iegūto un transplantēto vai iznīcināto orgānu veidu un skaitu. Aģentūra ir apkopojusi VSIA “Paula Stradiņa klīniskā universitātes slimnīca” iesniegtos datus par iegūtajiem un transplantētajiem orgāniem 20</w:t>
      </w:r>
      <w:r>
        <w:rPr>
          <w:rFonts w:ascii="Times New Roman" w:hAnsi="Times New Roman" w:cs="Times New Roman"/>
          <w:sz w:val="24"/>
          <w:szCs w:val="24"/>
        </w:rPr>
        <w:t>20</w:t>
      </w:r>
      <w:r w:rsidRPr="006F7D56">
        <w:rPr>
          <w:rFonts w:ascii="Times New Roman" w:hAnsi="Times New Roman" w:cs="Times New Roman"/>
          <w:sz w:val="24"/>
          <w:szCs w:val="24"/>
        </w:rPr>
        <w:t>.gadā salīdzinājumā ar 201</w:t>
      </w:r>
      <w:r>
        <w:rPr>
          <w:rFonts w:ascii="Times New Roman" w:hAnsi="Times New Roman" w:cs="Times New Roman"/>
          <w:sz w:val="24"/>
          <w:szCs w:val="24"/>
        </w:rPr>
        <w:t>9</w:t>
      </w:r>
      <w:r w:rsidRPr="006F7D56">
        <w:rPr>
          <w:rFonts w:ascii="Times New Roman" w:hAnsi="Times New Roman" w:cs="Times New Roman"/>
          <w:sz w:val="24"/>
          <w:szCs w:val="24"/>
        </w:rPr>
        <w:t xml:space="preserve">.gadu. </w:t>
      </w:r>
    </w:p>
    <w:p w14:paraId="321F6BF0" w14:textId="77777777" w:rsidR="00B32E77" w:rsidRDefault="00B32E77" w:rsidP="00B32E77">
      <w:pPr>
        <w:jc w:val="both"/>
        <w:rPr>
          <w:rFonts w:ascii="Times New Roman" w:hAnsi="Times New Roman" w:cs="Times New Roman"/>
          <w:sz w:val="24"/>
          <w:szCs w:val="24"/>
        </w:rPr>
      </w:pPr>
      <w:r>
        <w:rPr>
          <w:rFonts w:ascii="Times New Roman" w:hAnsi="Times New Roman" w:cs="Times New Roman"/>
          <w:sz w:val="24"/>
          <w:szCs w:val="24"/>
        </w:rPr>
        <w:t xml:space="preserve"> </w:t>
      </w:r>
    </w:p>
    <w:p w14:paraId="7A7C9F2A" w14:textId="77777777" w:rsidR="00B32E77" w:rsidRDefault="00B32E77" w:rsidP="00B32E77">
      <w:pPr>
        <w:jc w:val="both"/>
        <w:rPr>
          <w:rFonts w:ascii="Times New Roman" w:hAnsi="Times New Roman" w:cs="Times New Roman"/>
          <w:sz w:val="24"/>
          <w:szCs w:val="24"/>
        </w:rPr>
      </w:pPr>
      <w:r>
        <w:rPr>
          <w:noProof/>
        </w:rPr>
        <w:drawing>
          <wp:inline distT="0" distB="0" distL="0" distR="0" wp14:anchorId="47D92878" wp14:editId="70F2660C">
            <wp:extent cx="6120130" cy="4145654"/>
            <wp:effectExtent l="0" t="0" r="13970" b="7620"/>
            <wp:docPr id="1" name="Chart 1">
              <a:extLst xmlns:a="http://schemas.openxmlformats.org/drawingml/2006/main">
                <a:ext uri="{FF2B5EF4-FFF2-40B4-BE49-F238E27FC236}">
                  <a16:creationId xmlns:a16="http://schemas.microsoft.com/office/drawing/2014/main" id="{EAC6CCBF-7685-4BB2-A7A7-CEC10C01D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9F30B51" w14:textId="77777777" w:rsidR="00B32E77" w:rsidRPr="004E2607" w:rsidRDefault="00B32E77" w:rsidP="00B32E77">
      <w:pPr>
        <w:jc w:val="both"/>
        <w:rPr>
          <w:rFonts w:ascii="Times New Roman" w:hAnsi="Times New Roman" w:cs="Times New Roman"/>
          <w:sz w:val="24"/>
          <w:szCs w:val="24"/>
        </w:rPr>
      </w:pPr>
    </w:p>
    <w:p w14:paraId="1C05DC0C" w14:textId="77777777" w:rsidR="00B32E77" w:rsidRPr="004E2607" w:rsidRDefault="00B32E77" w:rsidP="00B32E77">
      <w:pPr>
        <w:rPr>
          <w:rFonts w:ascii="Times New Roman" w:hAnsi="Times New Roman" w:cs="Times New Roman"/>
          <w:sz w:val="24"/>
          <w:szCs w:val="24"/>
        </w:rPr>
      </w:pPr>
    </w:p>
    <w:p w14:paraId="27D785FD" w14:textId="77777777" w:rsidR="00B32E77" w:rsidRDefault="00B32E77" w:rsidP="00B32E77">
      <w:pPr>
        <w:rPr>
          <w:rFonts w:ascii="Times New Roman" w:hAnsi="Times New Roman" w:cs="Times New Roman"/>
          <w:sz w:val="24"/>
          <w:szCs w:val="24"/>
        </w:rPr>
      </w:pPr>
      <w:r>
        <w:rPr>
          <w:noProof/>
        </w:rPr>
        <w:lastRenderedPageBreak/>
        <w:drawing>
          <wp:inline distT="0" distB="0" distL="0" distR="0" wp14:anchorId="1E41CE20" wp14:editId="5D8D6D87">
            <wp:extent cx="6120130" cy="3838575"/>
            <wp:effectExtent l="0" t="0" r="13970" b="9525"/>
            <wp:docPr id="5" name="Chart 5">
              <a:extLst xmlns:a="http://schemas.openxmlformats.org/drawingml/2006/main">
                <a:ext uri="{FF2B5EF4-FFF2-40B4-BE49-F238E27FC236}">
                  <a16:creationId xmlns:a16="http://schemas.microsoft.com/office/drawing/2014/main" id="{573F8594-1C24-4121-825A-C33C3DDCC7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23BF548" w14:textId="77777777" w:rsidR="00B32E77" w:rsidRDefault="00B32E77" w:rsidP="00B32E77">
      <w:pPr>
        <w:jc w:val="both"/>
        <w:rPr>
          <w:rFonts w:ascii="Times New Roman" w:hAnsi="Times New Roman" w:cs="Times New Roman"/>
          <w:sz w:val="24"/>
          <w:szCs w:val="24"/>
        </w:rPr>
      </w:pPr>
    </w:p>
    <w:p w14:paraId="213D91BE" w14:textId="639B153A" w:rsidR="00B32E77" w:rsidRDefault="007A63A5" w:rsidP="00B32E77">
      <w:pPr>
        <w:jc w:val="both"/>
        <w:rPr>
          <w:rFonts w:ascii="Times New Roman" w:hAnsi="Times New Roman" w:cs="Times New Roman"/>
          <w:sz w:val="24"/>
          <w:szCs w:val="24"/>
        </w:rPr>
      </w:pPr>
      <w:r>
        <w:rPr>
          <w:noProof/>
        </w:rPr>
        <w:drawing>
          <wp:inline distT="0" distB="0" distL="0" distR="0" wp14:anchorId="4F8A3CFE" wp14:editId="527A2895">
            <wp:extent cx="5924550" cy="4152900"/>
            <wp:effectExtent l="0" t="0" r="0" b="0"/>
            <wp:docPr id="623808801" name="Chart 1">
              <a:extLst xmlns:a="http://schemas.openxmlformats.org/drawingml/2006/main">
                <a:ext uri="{FF2B5EF4-FFF2-40B4-BE49-F238E27FC236}">
                  <a16:creationId xmlns:a16="http://schemas.microsoft.com/office/drawing/2014/main" id="{C0A8E7E8-781E-4D28-941F-EE33B6512D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0CDD8B" w14:textId="77777777" w:rsidR="00B32E77" w:rsidRDefault="00B32E77" w:rsidP="00B32E77">
      <w:pPr>
        <w:jc w:val="both"/>
        <w:rPr>
          <w:rFonts w:ascii="Times New Roman" w:hAnsi="Times New Roman" w:cs="Times New Roman"/>
          <w:sz w:val="24"/>
          <w:szCs w:val="24"/>
        </w:rPr>
      </w:pPr>
    </w:p>
    <w:p w14:paraId="6056DCD3" w14:textId="7AFA6A06" w:rsidR="001E4BCA" w:rsidRPr="00B32E77" w:rsidRDefault="00B32E77" w:rsidP="00B32E77">
      <w:pPr>
        <w:jc w:val="both"/>
      </w:pPr>
      <w:r>
        <w:rPr>
          <w:rFonts w:ascii="Times New Roman" w:hAnsi="Times New Roman" w:cs="Times New Roman"/>
          <w:sz w:val="24"/>
          <w:szCs w:val="24"/>
        </w:rPr>
        <w:t xml:space="preserve">Aizkuņģa dziedzera transplantācija  2019.gadā un 2020.gadā nav veikta. </w:t>
      </w:r>
    </w:p>
    <w:sectPr w:rsidR="001E4BCA" w:rsidRPr="00B32E77" w:rsidSect="004479F2">
      <w:head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95355" w14:textId="77777777" w:rsidR="00474C59" w:rsidRDefault="00474C59" w:rsidP="00FA1065">
      <w:pPr>
        <w:spacing w:after="0" w:line="240" w:lineRule="auto"/>
      </w:pPr>
      <w:r>
        <w:separator/>
      </w:r>
    </w:p>
  </w:endnote>
  <w:endnote w:type="continuationSeparator" w:id="0">
    <w:p w14:paraId="2BCBAF33" w14:textId="77777777" w:rsidR="00474C59" w:rsidRDefault="00474C59" w:rsidP="00FA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A4249" w14:textId="77777777" w:rsidR="00474C59" w:rsidRDefault="00474C59" w:rsidP="00FA1065">
      <w:pPr>
        <w:spacing w:after="0" w:line="240" w:lineRule="auto"/>
      </w:pPr>
      <w:r>
        <w:separator/>
      </w:r>
    </w:p>
  </w:footnote>
  <w:footnote w:type="continuationSeparator" w:id="0">
    <w:p w14:paraId="7FA020E1" w14:textId="77777777" w:rsidR="00474C59" w:rsidRDefault="00474C59" w:rsidP="00FA1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041C" w14:textId="77777777" w:rsidR="00716C32" w:rsidRDefault="00716C32" w:rsidP="00FA1065">
    <w:pPr>
      <w:pStyle w:val="Header"/>
      <w:tabs>
        <w:tab w:val="center" w:pos="4607"/>
        <w:tab w:val="right" w:pos="9214"/>
      </w:tabs>
    </w:pPr>
  </w:p>
  <w:p w14:paraId="6D828D33" w14:textId="77777777" w:rsidR="00716C32" w:rsidRDefault="00716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44"/>
    <w:rsid w:val="00007A01"/>
    <w:rsid w:val="00035AF3"/>
    <w:rsid w:val="00044334"/>
    <w:rsid w:val="00047EA4"/>
    <w:rsid w:val="00054DA6"/>
    <w:rsid w:val="00067419"/>
    <w:rsid w:val="00081225"/>
    <w:rsid w:val="000A4A56"/>
    <w:rsid w:val="000D61FB"/>
    <w:rsid w:val="00123762"/>
    <w:rsid w:val="001451DC"/>
    <w:rsid w:val="00166F98"/>
    <w:rsid w:val="00187269"/>
    <w:rsid w:val="001C25C1"/>
    <w:rsid w:val="001D27C7"/>
    <w:rsid w:val="001D63C7"/>
    <w:rsid w:val="001E4BCA"/>
    <w:rsid w:val="00211BB6"/>
    <w:rsid w:val="002410F7"/>
    <w:rsid w:val="00267506"/>
    <w:rsid w:val="00285414"/>
    <w:rsid w:val="002D459F"/>
    <w:rsid w:val="002E45E9"/>
    <w:rsid w:val="0037327F"/>
    <w:rsid w:val="00380CB1"/>
    <w:rsid w:val="00386257"/>
    <w:rsid w:val="003B1E6C"/>
    <w:rsid w:val="003F0CA3"/>
    <w:rsid w:val="00402A3F"/>
    <w:rsid w:val="004479F2"/>
    <w:rsid w:val="00447ABB"/>
    <w:rsid w:val="004700F3"/>
    <w:rsid w:val="00474C59"/>
    <w:rsid w:val="004755F8"/>
    <w:rsid w:val="004A654A"/>
    <w:rsid w:val="004C5148"/>
    <w:rsid w:val="004D2D34"/>
    <w:rsid w:val="004E2607"/>
    <w:rsid w:val="00554861"/>
    <w:rsid w:val="00562B2F"/>
    <w:rsid w:val="00593D78"/>
    <w:rsid w:val="005A09F0"/>
    <w:rsid w:val="005A709A"/>
    <w:rsid w:val="005C5B1E"/>
    <w:rsid w:val="005D217F"/>
    <w:rsid w:val="005E5DAC"/>
    <w:rsid w:val="00607141"/>
    <w:rsid w:val="006132DF"/>
    <w:rsid w:val="00664040"/>
    <w:rsid w:val="00670450"/>
    <w:rsid w:val="0067526B"/>
    <w:rsid w:val="0069359D"/>
    <w:rsid w:val="006A282C"/>
    <w:rsid w:val="006C3129"/>
    <w:rsid w:val="006D143E"/>
    <w:rsid w:val="006F4C94"/>
    <w:rsid w:val="006F5322"/>
    <w:rsid w:val="006F7D56"/>
    <w:rsid w:val="00716C32"/>
    <w:rsid w:val="00770144"/>
    <w:rsid w:val="007A63A5"/>
    <w:rsid w:val="008050FC"/>
    <w:rsid w:val="00844797"/>
    <w:rsid w:val="0087523F"/>
    <w:rsid w:val="00877808"/>
    <w:rsid w:val="00883F71"/>
    <w:rsid w:val="0088760F"/>
    <w:rsid w:val="0089286C"/>
    <w:rsid w:val="00892F6D"/>
    <w:rsid w:val="008A1DE8"/>
    <w:rsid w:val="008C1637"/>
    <w:rsid w:val="008C26B0"/>
    <w:rsid w:val="008E4806"/>
    <w:rsid w:val="00905AF7"/>
    <w:rsid w:val="00917F90"/>
    <w:rsid w:val="00926894"/>
    <w:rsid w:val="00963E42"/>
    <w:rsid w:val="00976EB6"/>
    <w:rsid w:val="009C1953"/>
    <w:rsid w:val="009D78F7"/>
    <w:rsid w:val="009E382C"/>
    <w:rsid w:val="009E486F"/>
    <w:rsid w:val="00A40DE3"/>
    <w:rsid w:val="00A417A4"/>
    <w:rsid w:val="00A5158B"/>
    <w:rsid w:val="00A91CB4"/>
    <w:rsid w:val="00AA4F76"/>
    <w:rsid w:val="00AA6A12"/>
    <w:rsid w:val="00B00D5C"/>
    <w:rsid w:val="00B163A9"/>
    <w:rsid w:val="00B21960"/>
    <w:rsid w:val="00B32E77"/>
    <w:rsid w:val="00B5202D"/>
    <w:rsid w:val="00B54D66"/>
    <w:rsid w:val="00B8164F"/>
    <w:rsid w:val="00B8616B"/>
    <w:rsid w:val="00B862C9"/>
    <w:rsid w:val="00BB0445"/>
    <w:rsid w:val="00BC6A05"/>
    <w:rsid w:val="00BD12A5"/>
    <w:rsid w:val="00BE1872"/>
    <w:rsid w:val="00C03468"/>
    <w:rsid w:val="00C35024"/>
    <w:rsid w:val="00C4336E"/>
    <w:rsid w:val="00C44FB4"/>
    <w:rsid w:val="00C52EA9"/>
    <w:rsid w:val="00C600EF"/>
    <w:rsid w:val="00C76198"/>
    <w:rsid w:val="00C80E01"/>
    <w:rsid w:val="00C852D9"/>
    <w:rsid w:val="00C96D1B"/>
    <w:rsid w:val="00CE082D"/>
    <w:rsid w:val="00CE26BE"/>
    <w:rsid w:val="00CE3ACB"/>
    <w:rsid w:val="00D11E45"/>
    <w:rsid w:val="00D12570"/>
    <w:rsid w:val="00D161F2"/>
    <w:rsid w:val="00D42D9E"/>
    <w:rsid w:val="00DB5438"/>
    <w:rsid w:val="00DC3950"/>
    <w:rsid w:val="00E01933"/>
    <w:rsid w:val="00E22804"/>
    <w:rsid w:val="00E23048"/>
    <w:rsid w:val="00E41FA5"/>
    <w:rsid w:val="00E918FB"/>
    <w:rsid w:val="00EC32F4"/>
    <w:rsid w:val="00EE5ABA"/>
    <w:rsid w:val="00EF3E81"/>
    <w:rsid w:val="00F21FC8"/>
    <w:rsid w:val="00F42CCB"/>
    <w:rsid w:val="00F432E8"/>
    <w:rsid w:val="00F77642"/>
    <w:rsid w:val="00FA1065"/>
    <w:rsid w:val="00FA1C6E"/>
    <w:rsid w:val="00FB029C"/>
    <w:rsid w:val="00FB58EE"/>
    <w:rsid w:val="00FD41BD"/>
    <w:rsid w:val="00FD6BC0"/>
    <w:rsid w:val="00FE4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DDF68E"/>
  <w15:docId w15:val="{D45CE53D-0437-4015-AFBA-A4C8AF88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2F"/>
    <w:rPr>
      <w:rFonts w:ascii="Tahoma" w:hAnsi="Tahoma" w:cs="Tahoma"/>
      <w:sz w:val="16"/>
      <w:szCs w:val="16"/>
    </w:rPr>
  </w:style>
  <w:style w:type="paragraph" w:styleId="Header">
    <w:name w:val="header"/>
    <w:basedOn w:val="Normal"/>
    <w:link w:val="HeaderChar"/>
    <w:uiPriority w:val="99"/>
    <w:unhideWhenUsed/>
    <w:rsid w:val="00FA1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065"/>
  </w:style>
  <w:style w:type="paragraph" w:styleId="Footer">
    <w:name w:val="footer"/>
    <w:basedOn w:val="Normal"/>
    <w:link w:val="FooterChar"/>
    <w:uiPriority w:val="99"/>
    <w:unhideWhenUsed/>
    <w:rsid w:val="00FA1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065"/>
  </w:style>
  <w:style w:type="character" w:styleId="Hyperlink">
    <w:name w:val="Hyperlink"/>
    <w:basedOn w:val="DefaultParagraphFont"/>
    <w:uiPriority w:val="99"/>
    <w:semiHidden/>
    <w:unhideWhenUsed/>
    <w:rsid w:val="00C600EF"/>
    <w:rPr>
      <w:color w:val="0000FF"/>
      <w:u w:val="single"/>
    </w:rPr>
  </w:style>
  <w:style w:type="character" w:styleId="CommentReference">
    <w:name w:val="annotation reference"/>
    <w:basedOn w:val="DefaultParagraphFont"/>
    <w:uiPriority w:val="99"/>
    <w:semiHidden/>
    <w:unhideWhenUsed/>
    <w:rsid w:val="00844797"/>
    <w:rPr>
      <w:sz w:val="16"/>
      <w:szCs w:val="16"/>
    </w:rPr>
  </w:style>
  <w:style w:type="paragraph" w:styleId="CommentText">
    <w:name w:val="annotation text"/>
    <w:basedOn w:val="Normal"/>
    <w:link w:val="CommentTextChar"/>
    <w:uiPriority w:val="99"/>
    <w:semiHidden/>
    <w:unhideWhenUsed/>
    <w:rsid w:val="00844797"/>
    <w:pPr>
      <w:spacing w:line="240" w:lineRule="auto"/>
    </w:pPr>
    <w:rPr>
      <w:sz w:val="20"/>
      <w:szCs w:val="20"/>
    </w:rPr>
  </w:style>
  <w:style w:type="character" w:customStyle="1" w:styleId="CommentTextChar">
    <w:name w:val="Comment Text Char"/>
    <w:basedOn w:val="DefaultParagraphFont"/>
    <w:link w:val="CommentText"/>
    <w:uiPriority w:val="99"/>
    <w:semiHidden/>
    <w:rsid w:val="00844797"/>
    <w:rPr>
      <w:sz w:val="20"/>
      <w:szCs w:val="20"/>
    </w:rPr>
  </w:style>
  <w:style w:type="paragraph" w:styleId="CommentSubject">
    <w:name w:val="annotation subject"/>
    <w:basedOn w:val="CommentText"/>
    <w:next w:val="CommentText"/>
    <w:link w:val="CommentSubjectChar"/>
    <w:uiPriority w:val="99"/>
    <w:semiHidden/>
    <w:unhideWhenUsed/>
    <w:rsid w:val="00844797"/>
    <w:rPr>
      <w:b/>
      <w:bCs/>
    </w:rPr>
  </w:style>
  <w:style w:type="character" w:customStyle="1" w:styleId="CommentSubjectChar">
    <w:name w:val="Comment Subject Char"/>
    <w:basedOn w:val="CommentTextChar"/>
    <w:link w:val="CommentSubject"/>
    <w:uiPriority w:val="99"/>
    <w:semiHidden/>
    <w:rsid w:val="008447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filesrv01.vnozare.pri\work\FDANN\Cilveka_izcelsmes_substances_SoHO\GADA_PARSKATI\Gada_kopsavilkumi_TC_Organi\2020\gada_kopsavilkums_2020_projek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srv01.vnozare.pri\work\FDANN\Cilveka_izcelsmes_substances_SoHO\GADA_PARSKATI\Gada_kopsavilkumi_TC_Organi\2020\gada_kopsavilkums_2020_projek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0\gada_kopsavilkums_2020_precizets_organu_ekspor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Nieru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organi!$B$6</c:f>
              <c:strCache>
                <c:ptCount val="1"/>
                <c:pt idx="0">
                  <c:v>2019. gads </c:v>
                </c:pt>
              </c:strCache>
            </c:strRef>
          </c:tx>
          <c:spPr>
            <a:solidFill>
              <a:schemeClr val="bg1">
                <a:lumMod val="85000"/>
              </a:schemeClr>
            </a:solidFill>
            <a:ln>
              <a:noFill/>
            </a:ln>
            <a:effectLst/>
          </c:spPr>
          <c:invertIfNegative val="0"/>
          <c:dLbls>
            <c:dLbl>
              <c:idx val="6"/>
              <c:layout>
                <c:manualLayout>
                  <c:x val="0"/>
                  <c:y val="1.03159231146939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6D-4488-A416-05C5D90CF349}"/>
                </c:ext>
              </c:extLst>
            </c:dLbl>
            <c:dLbl>
              <c:idx val="7"/>
              <c:layout>
                <c:manualLayout>
                  <c:x val="1.3591574679174625E-3"/>
                  <c:y val="7.73694233602048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6D-4488-A416-05C5D90CF3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organi!$C$5:$L$5</c:f>
              <c:strCache>
                <c:ptCount val="10"/>
                <c:pt idx="0">
                  <c:v>no saistītiem dzīviem donoriem</c:v>
                </c:pt>
                <c:pt idx="1">
                  <c:v>no nesaistītiem dzīviem donoriem</c:v>
                </c:pt>
                <c:pt idx="2">
                  <c:v>no donoriem ar cirkulācijas nāvi</c:v>
                </c:pt>
                <c:pt idx="3">
                  <c:v>no donoriem ar smadzeņu nāvi</c:v>
                </c:pt>
                <c:pt idx="4">
                  <c:v>izplatīts ES </c:v>
                </c:pt>
                <c:pt idx="5">
                  <c:v>saņemts no ES</c:v>
                </c:pt>
                <c:pt idx="6">
                  <c:v>eksportēts (ārpus EEZ)</c:v>
                </c:pt>
                <c:pt idx="7">
                  <c:v>importēts (ārpus EEZ)</c:v>
                </c:pt>
                <c:pt idx="8">
                  <c:v>neizmantots </c:v>
                </c:pt>
                <c:pt idx="9">
                  <c:v>transplantēts</c:v>
                </c:pt>
              </c:strCache>
            </c:strRef>
          </c:cat>
          <c:val>
            <c:numRef>
              <c:f>organi!$C$6:$L$6</c:f>
              <c:numCache>
                <c:formatCode>General</c:formatCode>
                <c:ptCount val="10"/>
                <c:pt idx="0">
                  <c:v>6</c:v>
                </c:pt>
                <c:pt idx="1">
                  <c:v>0</c:v>
                </c:pt>
                <c:pt idx="2">
                  <c:v>0</c:v>
                </c:pt>
                <c:pt idx="3">
                  <c:v>38</c:v>
                </c:pt>
                <c:pt idx="4">
                  <c:v>6</c:v>
                </c:pt>
                <c:pt idx="5">
                  <c:v>0</c:v>
                </c:pt>
                <c:pt idx="6">
                  <c:v>0</c:v>
                </c:pt>
                <c:pt idx="7">
                  <c:v>0</c:v>
                </c:pt>
                <c:pt idx="8">
                  <c:v>0</c:v>
                </c:pt>
                <c:pt idx="9">
                  <c:v>38</c:v>
                </c:pt>
              </c:numCache>
            </c:numRef>
          </c:val>
          <c:extLst>
            <c:ext xmlns:c16="http://schemas.microsoft.com/office/drawing/2014/chart" uri="{C3380CC4-5D6E-409C-BE32-E72D297353CC}">
              <c16:uniqueId val="{00000002-416D-4488-A416-05C5D90CF349}"/>
            </c:ext>
          </c:extLst>
        </c:ser>
        <c:ser>
          <c:idx val="0"/>
          <c:order val="1"/>
          <c:tx>
            <c:strRef>
              <c:f>organi!$B$4</c:f>
              <c:strCache>
                <c:ptCount val="1"/>
                <c:pt idx="0">
                  <c:v>2020.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organi!$C$5:$L$5</c:f>
              <c:strCache>
                <c:ptCount val="10"/>
                <c:pt idx="0">
                  <c:v>no saistītiem dzīviem donoriem</c:v>
                </c:pt>
                <c:pt idx="1">
                  <c:v>no nesaistītiem dzīviem donoriem</c:v>
                </c:pt>
                <c:pt idx="2">
                  <c:v>no donoriem ar cirkulācijas nāvi</c:v>
                </c:pt>
                <c:pt idx="3">
                  <c:v>no donoriem ar smadzeņu nāvi</c:v>
                </c:pt>
                <c:pt idx="4">
                  <c:v>izplatīts ES </c:v>
                </c:pt>
                <c:pt idx="5">
                  <c:v>saņemts no ES</c:v>
                </c:pt>
                <c:pt idx="6">
                  <c:v>eksportēts (ārpus EEZ)</c:v>
                </c:pt>
                <c:pt idx="7">
                  <c:v>importēts (ārpus EEZ)</c:v>
                </c:pt>
                <c:pt idx="8">
                  <c:v>neizmantots </c:v>
                </c:pt>
                <c:pt idx="9">
                  <c:v>transplantēts</c:v>
                </c:pt>
              </c:strCache>
            </c:strRef>
          </c:cat>
          <c:val>
            <c:numRef>
              <c:f>organi!$C$4:$L$4</c:f>
              <c:numCache>
                <c:formatCode>General</c:formatCode>
                <c:ptCount val="10"/>
                <c:pt idx="0">
                  <c:v>3</c:v>
                </c:pt>
                <c:pt idx="1">
                  <c:v>0</c:v>
                </c:pt>
                <c:pt idx="2">
                  <c:v>0</c:v>
                </c:pt>
                <c:pt idx="3">
                  <c:v>40</c:v>
                </c:pt>
                <c:pt idx="5">
                  <c:v>0</c:v>
                </c:pt>
                <c:pt idx="6">
                  <c:v>0</c:v>
                </c:pt>
                <c:pt idx="7">
                  <c:v>0</c:v>
                </c:pt>
                <c:pt idx="8">
                  <c:v>2</c:v>
                </c:pt>
                <c:pt idx="9">
                  <c:v>41</c:v>
                </c:pt>
              </c:numCache>
            </c:numRef>
          </c:val>
          <c:extLst>
            <c:ext xmlns:c16="http://schemas.microsoft.com/office/drawing/2014/chart" uri="{C3380CC4-5D6E-409C-BE32-E72D297353CC}">
              <c16:uniqueId val="{00000003-416D-4488-A416-05C5D90CF349}"/>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rtl="0">
              <a:defRPr lang="en-US" sz="900" b="0" i="0" u="none" strike="noStrike" kern="1200" baseline="0">
                <a:solidFill>
                  <a:sysClr val="windowText" lastClr="000000">
                    <a:lumMod val="75000"/>
                    <a:lumOff val="25000"/>
                  </a:sys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Sirds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organi!$B$44</c:f>
              <c:strCache>
                <c:ptCount val="1"/>
                <c:pt idx="0">
                  <c:v>2019. gads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organi!$F$43:$M$43</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organi!$F$44:$L$44</c:f>
              <c:numCache>
                <c:formatCode>General</c:formatCode>
                <c:ptCount val="7"/>
                <c:pt idx="0">
                  <c:v>4</c:v>
                </c:pt>
                <c:pt idx="1">
                  <c:v>4</c:v>
                </c:pt>
                <c:pt idx="2">
                  <c:v>0</c:v>
                </c:pt>
                <c:pt idx="3">
                  <c:v>0</c:v>
                </c:pt>
                <c:pt idx="4">
                  <c:v>0</c:v>
                </c:pt>
                <c:pt idx="5">
                  <c:v>0</c:v>
                </c:pt>
                <c:pt idx="6">
                  <c:v>0</c:v>
                </c:pt>
              </c:numCache>
            </c:numRef>
          </c:val>
          <c:extLst>
            <c:ext xmlns:c16="http://schemas.microsoft.com/office/drawing/2014/chart" uri="{C3380CC4-5D6E-409C-BE32-E72D297353CC}">
              <c16:uniqueId val="{00000000-A67B-4829-8185-825BD688F6C9}"/>
            </c:ext>
          </c:extLst>
        </c:ser>
        <c:ser>
          <c:idx val="0"/>
          <c:order val="1"/>
          <c:tx>
            <c:strRef>
              <c:f>organi!$B$42</c:f>
              <c:strCache>
                <c:ptCount val="1"/>
                <c:pt idx="0">
                  <c:v>2020.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organi!$F$43:$M$43</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organi!$F$42:$L$42</c:f>
              <c:numCache>
                <c:formatCode>General</c:formatCode>
                <c:ptCount val="7"/>
                <c:pt idx="0">
                  <c:v>3</c:v>
                </c:pt>
                <c:pt idx="1">
                  <c:v>1</c:v>
                </c:pt>
                <c:pt idx="2">
                  <c:v>0</c:v>
                </c:pt>
                <c:pt idx="3">
                  <c:v>0</c:v>
                </c:pt>
                <c:pt idx="4">
                  <c:v>0</c:v>
                </c:pt>
                <c:pt idx="5">
                  <c:v>0</c:v>
                </c:pt>
                <c:pt idx="6">
                  <c:v>2</c:v>
                </c:pt>
              </c:numCache>
            </c:numRef>
          </c:val>
          <c:extLst>
            <c:ext xmlns:c16="http://schemas.microsoft.com/office/drawing/2014/chart" uri="{C3380CC4-5D6E-409C-BE32-E72D297353CC}">
              <c16:uniqueId val="{00000001-A67B-4829-8185-825BD688F6C9}"/>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a:glow rad="12700">
                <a:schemeClr val="accent1">
                  <a:alpha val="40000"/>
                </a:schemeClr>
              </a:glo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Aknu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[gada_kopsavilkums_2020_precizets_organu_eksports.xlsx]organi!$B$78</c:f>
              <c:strCache>
                <c:ptCount val="1"/>
                <c:pt idx="0">
                  <c:v>2019. gads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[gada_kopsavilkums_2020_precizets_organu_eksports.xlsx]organi!$F$77:$L$77</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[gada_kopsavilkums_2020_precizets_organu_eksports.xlsx]organi!$F$78:$L$78</c:f>
              <c:numCache>
                <c:formatCode>General</c:formatCode>
                <c:ptCount val="7"/>
                <c:pt idx="0">
                  <c:v>4</c:v>
                </c:pt>
                <c:pt idx="1">
                  <c:v>1</c:v>
                </c:pt>
                <c:pt idx="2">
                  <c:v>0</c:v>
                </c:pt>
                <c:pt idx="3">
                  <c:v>1</c:v>
                </c:pt>
                <c:pt idx="4">
                  <c:v>0</c:v>
                </c:pt>
                <c:pt idx="5">
                  <c:v>0</c:v>
                </c:pt>
                <c:pt idx="6">
                  <c:v>2</c:v>
                </c:pt>
              </c:numCache>
            </c:numRef>
          </c:val>
          <c:extLst>
            <c:ext xmlns:c16="http://schemas.microsoft.com/office/drawing/2014/chart" uri="{C3380CC4-5D6E-409C-BE32-E72D297353CC}">
              <c16:uniqueId val="{00000000-3B51-46DD-B7FF-AC1DE526E4EC}"/>
            </c:ext>
          </c:extLst>
        </c:ser>
        <c:ser>
          <c:idx val="0"/>
          <c:order val="1"/>
          <c:tx>
            <c:strRef>
              <c:f>[gada_kopsavilkums_2020_precizets_organu_eksports.xlsx]organi!$B$76</c:f>
              <c:strCache>
                <c:ptCount val="1"/>
                <c:pt idx="0">
                  <c:v>2020.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[gada_kopsavilkums_2020_precizets_organu_eksports.xlsx]organi!$F$77:$L$77</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[gada_kopsavilkums_2020_precizets_organu_eksports.xlsx]organi!$F$76:$L$76</c:f>
              <c:numCache>
                <c:formatCode>General</c:formatCode>
                <c:ptCount val="7"/>
                <c:pt idx="0">
                  <c:v>4</c:v>
                </c:pt>
                <c:pt idx="1">
                  <c:v>2</c:v>
                </c:pt>
                <c:pt idx="2">
                  <c:v>0</c:v>
                </c:pt>
                <c:pt idx="3">
                  <c:v>0</c:v>
                </c:pt>
                <c:pt idx="4">
                  <c:v>0</c:v>
                </c:pt>
                <c:pt idx="5">
                  <c:v>0</c:v>
                </c:pt>
                <c:pt idx="6">
                  <c:v>2</c:v>
                </c:pt>
              </c:numCache>
            </c:numRef>
          </c:val>
          <c:extLst>
            <c:ext xmlns:c16="http://schemas.microsoft.com/office/drawing/2014/chart" uri="{C3380CC4-5D6E-409C-BE32-E72D297353CC}">
              <c16:uniqueId val="{00000001-3B51-46DD-B7FF-AC1DE526E4EC}"/>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a:glow rad="12700">
                <a:schemeClr val="accent1">
                  <a:alpha val="40000"/>
                </a:schemeClr>
              </a:glo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801</Words>
  <Characters>458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Ieva Beķere</cp:lastModifiedBy>
  <cp:revision>3</cp:revision>
  <dcterms:created xsi:type="dcterms:W3CDTF">2023-12-21T17:17:00Z</dcterms:created>
  <dcterms:modified xsi:type="dcterms:W3CDTF">2023-12-21T17:18:00Z</dcterms:modified>
</cp:coreProperties>
</file>